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990D6" w14:textId="77777777" w:rsidR="006520CC" w:rsidRDefault="00CD5E3C">
      <w:pPr>
        <w:spacing w:after="0" w:line="259" w:lineRule="auto"/>
        <w:ind w:left="16" w:hanging="10"/>
        <w:jc w:val="center"/>
      </w:pPr>
      <w:r>
        <w:rPr>
          <w:b/>
        </w:rPr>
        <w:t xml:space="preserve">Point Richmond Ridge </w:t>
      </w:r>
    </w:p>
    <w:p w14:paraId="20A64E9D" w14:textId="77777777" w:rsidR="006520CC" w:rsidRDefault="00CD5E3C">
      <w:pPr>
        <w:spacing w:after="0" w:line="259" w:lineRule="auto"/>
        <w:ind w:left="16" w:hanging="10"/>
        <w:jc w:val="center"/>
      </w:pPr>
      <w:r>
        <w:rPr>
          <w:b/>
        </w:rPr>
        <w:t xml:space="preserve">Homeowners’ Association </w:t>
      </w:r>
    </w:p>
    <w:p w14:paraId="2722B3F4" w14:textId="77777777" w:rsidR="006520CC" w:rsidRDefault="00CD5E3C">
      <w:pPr>
        <w:spacing w:after="0" w:line="259" w:lineRule="auto"/>
        <w:ind w:left="0" w:firstLine="0"/>
      </w:pPr>
      <w:r>
        <w:t xml:space="preserve"> </w:t>
      </w:r>
    </w:p>
    <w:p w14:paraId="795E6616" w14:textId="77777777" w:rsidR="006520CC" w:rsidRDefault="00CD5E3C">
      <w:pPr>
        <w:spacing w:after="0" w:line="259" w:lineRule="auto"/>
        <w:ind w:left="76" w:firstLine="0"/>
        <w:jc w:val="center"/>
      </w:pPr>
      <w:r>
        <w:t xml:space="preserve"> </w:t>
      </w:r>
    </w:p>
    <w:p w14:paraId="357F6104" w14:textId="0F09F30E" w:rsidR="006520CC" w:rsidRDefault="00CD5E3C">
      <w:pPr>
        <w:spacing w:after="0" w:line="259" w:lineRule="auto"/>
        <w:ind w:left="16" w:right="2" w:hanging="10"/>
        <w:jc w:val="center"/>
      </w:pPr>
      <w:r>
        <w:rPr>
          <w:b/>
        </w:rPr>
        <w:t>Reserve Fund Study 20</w:t>
      </w:r>
      <w:r w:rsidR="00E464FB">
        <w:rPr>
          <w:b/>
        </w:rPr>
        <w:t>2</w:t>
      </w:r>
      <w:r w:rsidR="00DB1E96">
        <w:rPr>
          <w:b/>
        </w:rPr>
        <w:t>4</w:t>
      </w:r>
      <w:r>
        <w:rPr>
          <w:b/>
        </w:rPr>
        <w:t xml:space="preserve"> Annual </w:t>
      </w:r>
      <w:r w:rsidR="000F6514">
        <w:rPr>
          <w:b/>
        </w:rPr>
        <w:t>Report Summary</w:t>
      </w:r>
    </w:p>
    <w:p w14:paraId="72B99637" w14:textId="77777777" w:rsidR="006520CC" w:rsidRDefault="00CD5E3C">
      <w:pPr>
        <w:spacing w:after="0" w:line="259" w:lineRule="auto"/>
        <w:ind w:left="143" w:firstLine="0"/>
        <w:jc w:val="center"/>
      </w:pPr>
      <w:r>
        <w:t xml:space="preserve">  </w:t>
      </w:r>
    </w:p>
    <w:p w14:paraId="54C4ABEC" w14:textId="77777777" w:rsidR="006520CC" w:rsidRDefault="00CD5E3C" w:rsidP="00AC4F08">
      <w:pPr>
        <w:spacing w:after="38"/>
        <w:ind w:left="0" w:firstLine="0"/>
        <w:jc w:val="both"/>
      </w:pPr>
      <w:r>
        <w:t xml:space="preserve">The PRR HOA BOD reviews and updates a Reserve Study annually in accordance with </w:t>
      </w:r>
    </w:p>
    <w:p w14:paraId="180464F6" w14:textId="1C84B2A5" w:rsidR="006520CC" w:rsidRDefault="00CD5E3C" w:rsidP="00AC4F08">
      <w:pPr>
        <w:spacing w:after="158"/>
        <w:ind w:left="0" w:firstLine="0"/>
        <w:jc w:val="both"/>
      </w:pPr>
      <w:r>
        <w:t xml:space="preserve">Washington State Legislature </w:t>
      </w:r>
      <w:r>
        <w:rPr>
          <w:rFonts w:ascii="Segoe UI" w:eastAsia="Segoe UI" w:hAnsi="Segoe UI" w:cs="Segoe UI"/>
          <w:i/>
        </w:rPr>
        <w:t>RCW</w:t>
      </w:r>
      <w:hyperlink r:id="rId7">
        <w:r>
          <w:rPr>
            <w:rFonts w:ascii="Segoe UI" w:eastAsia="Segoe UI" w:hAnsi="Segoe UI" w:cs="Segoe UI"/>
            <w:i/>
          </w:rPr>
          <w:t xml:space="preserve"> </w:t>
        </w:r>
      </w:hyperlink>
      <w:hyperlink r:id="rId8">
        <w:r>
          <w:rPr>
            <w:rFonts w:ascii="Segoe UI" w:eastAsia="Segoe UI" w:hAnsi="Segoe UI" w:cs="Segoe UI"/>
            <w:b/>
            <w:i/>
            <w:u w:val="single" w:color="000000"/>
          </w:rPr>
          <w:t>64.38.065</w:t>
        </w:r>
      </w:hyperlink>
      <w:hyperlink r:id="rId9">
        <w:r>
          <w:t>.</w:t>
        </w:r>
      </w:hyperlink>
      <w:r>
        <w:t xml:space="preserve"> The Reserve study is supplemental to the operating and maintenance budget and estimates the anticipated major maintenance, repair, and replacement costs, whose infrequent and significant nature make them impractical to be included in an annual budget. The Reserve Fund Study Report for 20</w:t>
      </w:r>
      <w:r w:rsidR="00A71666">
        <w:t>2</w:t>
      </w:r>
      <w:r w:rsidR="00DB1E96">
        <w:t>4</w:t>
      </w:r>
      <w:r>
        <w:t xml:space="preserve"> is based upon a formal Reserve Study done by the Reserve Study Group </w:t>
      </w:r>
      <w:r w:rsidR="005D320A">
        <w:t xml:space="preserve">in </w:t>
      </w:r>
      <w:r w:rsidR="00216AD6">
        <w:t>August 2024.</w:t>
      </w:r>
      <w:r w:rsidR="00A71666">
        <w:t xml:space="preserve"> </w:t>
      </w:r>
    </w:p>
    <w:p w14:paraId="7BA1FE3E" w14:textId="125A4648" w:rsidR="006520CC" w:rsidRDefault="00CD5E3C" w:rsidP="00AC4F08">
      <w:pPr>
        <w:spacing w:after="118"/>
        <w:ind w:left="0" w:firstLine="0"/>
        <w:jc w:val="both"/>
      </w:pPr>
      <w:r>
        <w:t>This report was reviewed and approved by the PRR HOA Board on</w:t>
      </w:r>
      <w:r w:rsidR="00DB062C">
        <w:t xml:space="preserve"> </w:t>
      </w:r>
      <w:r w:rsidR="008B586E">
        <w:t>8/21/2024.</w:t>
      </w:r>
    </w:p>
    <w:p w14:paraId="10A3784D" w14:textId="77777777" w:rsidR="006520CC" w:rsidRDefault="00CD5E3C" w:rsidP="00AC4F08">
      <w:pPr>
        <w:pStyle w:val="Heading1"/>
        <w:spacing w:after="199"/>
        <w:ind w:left="-5"/>
        <w:jc w:val="both"/>
      </w:pPr>
      <w:r>
        <w:t>Background</w:t>
      </w:r>
      <w:r>
        <w:rPr>
          <w:u w:val="none"/>
        </w:rPr>
        <w:t xml:space="preserve"> </w:t>
      </w:r>
    </w:p>
    <w:p w14:paraId="6A4AEB7A" w14:textId="6F749F13" w:rsidR="006520CC" w:rsidRDefault="00CD5E3C" w:rsidP="00AC4F08">
      <w:pPr>
        <w:numPr>
          <w:ilvl w:val="0"/>
          <w:numId w:val="1"/>
        </w:numPr>
        <w:spacing w:after="37"/>
        <w:ind w:hanging="360"/>
        <w:jc w:val="both"/>
      </w:pPr>
      <w:r>
        <w:t>The Point Richmond Ridge Homeowners’ Association (PRR HOA) is responsible for maintenance of the common areas (Tracts A through J)</w:t>
      </w:r>
      <w:r w:rsidR="008617D5">
        <w:t xml:space="preserve"> and </w:t>
      </w:r>
      <w:r w:rsidR="009A23D8">
        <w:t>streets</w:t>
      </w:r>
      <w:r w:rsidR="008617D5">
        <w:t xml:space="preserve">, </w:t>
      </w:r>
      <w:r>
        <w:t>as well as enforcement of the Maintenance and Protective Covenants (M&amp;PCs). The assets includ</w:t>
      </w:r>
      <w:r w:rsidR="008617D5">
        <w:t>e</w:t>
      </w:r>
      <w:r>
        <w:t xml:space="preserve"> a playground, several forested “open areas” and “landslide/erosion hazard areas.” To accomplish this, the HOA has an annual operating budget for ongoing/regular expenses and a reserve fund for periodic, major maintenance expenses. The subject of this projection is the PRR reserve fund. </w:t>
      </w:r>
    </w:p>
    <w:p w14:paraId="5738886D" w14:textId="77777777" w:rsidR="006520CC" w:rsidRDefault="00CD5E3C" w:rsidP="00AC4F08">
      <w:pPr>
        <w:numPr>
          <w:ilvl w:val="0"/>
          <w:numId w:val="1"/>
        </w:numPr>
        <w:ind w:hanging="360"/>
        <w:jc w:val="both"/>
      </w:pPr>
      <w:r>
        <w:t xml:space="preserve">The maintenance standard for roads is specifically stated to “… conform to, Pierce County private road standards …” With respect to common areas, the standard is “… Pierce County Development Regulations for Gig Harbor …” These are part of the Articles of Incorporation. </w:t>
      </w:r>
    </w:p>
    <w:p w14:paraId="4F87D71C" w14:textId="77777777" w:rsidR="00E464FB" w:rsidRDefault="00CD5E3C" w:rsidP="00AC4F08">
      <w:pPr>
        <w:numPr>
          <w:ilvl w:val="0"/>
          <w:numId w:val="1"/>
        </w:numPr>
        <w:spacing w:after="0" w:line="240" w:lineRule="auto"/>
        <w:ind w:hanging="360"/>
        <w:jc w:val="both"/>
      </w:pPr>
      <w:r>
        <w:t xml:space="preserve">Homeowners are required by the Covenants (M&amp;PCs) to pay dues to the HOA to cover the responsibilities of the HOA. </w:t>
      </w:r>
    </w:p>
    <w:p w14:paraId="1B35DD9A" w14:textId="77777777" w:rsidR="00E464FB" w:rsidRDefault="00E464FB" w:rsidP="00AC4F08">
      <w:pPr>
        <w:spacing w:after="0" w:line="240" w:lineRule="auto"/>
        <w:ind w:left="360" w:firstLine="0"/>
        <w:jc w:val="both"/>
      </w:pPr>
    </w:p>
    <w:p w14:paraId="2ED6A706" w14:textId="71C3A761" w:rsidR="006520CC" w:rsidRDefault="00CD5E3C" w:rsidP="00AC4F08">
      <w:pPr>
        <w:spacing w:after="0" w:line="240" w:lineRule="auto"/>
        <w:ind w:left="0" w:firstLine="0"/>
        <w:jc w:val="both"/>
      </w:pPr>
      <w:r>
        <w:rPr>
          <w:u w:val="single" w:color="000000"/>
        </w:rPr>
        <w:t>General Premises</w:t>
      </w:r>
      <w:r>
        <w:t xml:space="preserve"> </w:t>
      </w:r>
    </w:p>
    <w:p w14:paraId="79F91C29" w14:textId="77777777" w:rsidR="00E464FB" w:rsidRDefault="00E464FB" w:rsidP="00AC4F08">
      <w:pPr>
        <w:spacing w:after="0" w:line="240" w:lineRule="auto"/>
        <w:ind w:left="0" w:firstLine="0"/>
        <w:jc w:val="both"/>
      </w:pPr>
    </w:p>
    <w:p w14:paraId="7BD25A75" w14:textId="77777777" w:rsidR="006520CC" w:rsidRDefault="00CD5E3C" w:rsidP="00AC4F08">
      <w:pPr>
        <w:numPr>
          <w:ilvl w:val="0"/>
          <w:numId w:val="2"/>
        </w:numPr>
        <w:ind w:hanging="360"/>
        <w:jc w:val="both"/>
      </w:pPr>
      <w:r>
        <w:t xml:space="preserve">The PRR reserve fund will be maintained by annual contributions such that the total amount of the funds will remain greater than zero in all years. Homeowner dues will be adjusted as necessary to ensure the funds remain adequate.  </w:t>
      </w:r>
    </w:p>
    <w:p w14:paraId="4FE52D12" w14:textId="4298C89C" w:rsidR="006520CC" w:rsidRDefault="00CD5E3C" w:rsidP="00AC4F08">
      <w:pPr>
        <w:numPr>
          <w:ilvl w:val="0"/>
          <w:numId w:val="2"/>
        </w:numPr>
        <w:ind w:hanging="360"/>
        <w:jc w:val="both"/>
      </w:pPr>
      <w:r>
        <w:t>A primary objective is to avoid the need for special assessments</w:t>
      </w:r>
      <w:r w:rsidR="00E464FB">
        <w:t>;</w:t>
      </w:r>
      <w:r>
        <w:t xml:space="preserve"> but replacement or asphalt resurfacing of the roads would likely require an assessment</w:t>
      </w:r>
      <w:r w:rsidR="0040241D">
        <w:t xml:space="preserve"> or significantly higher dues</w:t>
      </w:r>
      <w:r>
        <w:t xml:space="preserve">. </w:t>
      </w:r>
      <w:r w:rsidR="0040241D">
        <w:t xml:space="preserve"> </w:t>
      </w:r>
      <w:r w:rsidR="00CC4843">
        <w:t>An alternate to road resurfacing is to continue patching and sealcoating</w:t>
      </w:r>
      <w:r w:rsidR="009A26C2">
        <w:t xml:space="preserve">.  However, this too will require </w:t>
      </w:r>
      <w:r w:rsidR="007A1CBD">
        <w:t>dues</w:t>
      </w:r>
      <w:r w:rsidR="009A26C2">
        <w:t xml:space="preserve"> increase</w:t>
      </w:r>
      <w:r w:rsidR="00847D37">
        <w:t>s</w:t>
      </w:r>
      <w:r w:rsidR="0050067C">
        <w:t xml:space="preserve">, but significantly </w:t>
      </w:r>
      <w:r w:rsidR="00847D37">
        <w:t>lower increases</w:t>
      </w:r>
      <w:r w:rsidR="0050067C">
        <w:t>.</w:t>
      </w:r>
    </w:p>
    <w:p w14:paraId="25FEDB0A" w14:textId="77777777" w:rsidR="006520CC" w:rsidRDefault="00CD5E3C" w:rsidP="00AC4F08">
      <w:pPr>
        <w:numPr>
          <w:ilvl w:val="0"/>
          <w:numId w:val="2"/>
        </w:numPr>
        <w:ind w:hanging="360"/>
        <w:jc w:val="both"/>
      </w:pPr>
      <w:r>
        <w:t xml:space="preserve">The HOA will attempt to maintain a consistent contribution rate to the reserve fund for a few years at a time to avoid frequent dues adjustments; but the dues will be adjusted as required to adequately fund the reserves. </w:t>
      </w:r>
    </w:p>
    <w:p w14:paraId="6B01E772" w14:textId="0AA9F7E3" w:rsidR="00E464FB" w:rsidRDefault="00CD5E3C" w:rsidP="00AC4F08">
      <w:pPr>
        <w:numPr>
          <w:ilvl w:val="0"/>
          <w:numId w:val="2"/>
        </w:numPr>
        <w:spacing w:after="0" w:line="259" w:lineRule="auto"/>
        <w:ind w:hanging="360"/>
        <w:jc w:val="both"/>
      </w:pPr>
      <w:r>
        <w:t>The current reserves projection is based on the required 30-year time frame, 202</w:t>
      </w:r>
      <w:r w:rsidR="006D090D">
        <w:t>5</w:t>
      </w:r>
      <w:r w:rsidR="00E464FB">
        <w:t>-</w:t>
      </w:r>
      <w:r>
        <w:t>205</w:t>
      </w:r>
      <w:r w:rsidR="006D090D">
        <w:t>5</w:t>
      </w:r>
      <w:r>
        <w:t xml:space="preserve">. </w:t>
      </w:r>
      <w:r w:rsidRPr="00E464FB">
        <w:rPr>
          <w:b/>
          <w:sz w:val="16"/>
        </w:rPr>
        <w:t xml:space="preserve"> </w:t>
      </w:r>
    </w:p>
    <w:p w14:paraId="0B2B4284" w14:textId="078095DD" w:rsidR="006520CC" w:rsidRDefault="00CD5E3C" w:rsidP="00AC4F08">
      <w:pPr>
        <w:numPr>
          <w:ilvl w:val="0"/>
          <w:numId w:val="2"/>
        </w:numPr>
        <w:spacing w:after="0" w:line="259" w:lineRule="auto"/>
        <w:ind w:hanging="360"/>
        <w:jc w:val="both"/>
      </w:pPr>
      <w:r>
        <w:lastRenderedPageBreak/>
        <w:t xml:space="preserve">The reserve fund is designated to cover maintenance of the following “capital” assets owned by the HOA. Effectively, the funds are intended to extend the usable life of the assets. Funds will be used from the reserves for this maintenance. </w:t>
      </w:r>
    </w:p>
    <w:p w14:paraId="15A3811F" w14:textId="77777777" w:rsidR="006520CC" w:rsidRDefault="00CD5E3C" w:rsidP="00AC4F08">
      <w:pPr>
        <w:numPr>
          <w:ilvl w:val="1"/>
          <w:numId w:val="2"/>
        </w:numPr>
        <w:ind w:left="720" w:firstLine="360"/>
        <w:jc w:val="both"/>
      </w:pPr>
      <w:r>
        <w:t xml:space="preserve">Roads - including all patching, sealing, and repairs </w:t>
      </w:r>
    </w:p>
    <w:p w14:paraId="3C9D3A75" w14:textId="77777777" w:rsidR="006520CC" w:rsidRDefault="00CD5E3C" w:rsidP="00AC4F08">
      <w:pPr>
        <w:numPr>
          <w:ilvl w:val="1"/>
          <w:numId w:val="2"/>
        </w:numPr>
        <w:ind w:left="720" w:firstLine="360"/>
        <w:jc w:val="both"/>
      </w:pPr>
      <w:r>
        <w:t xml:space="preserve">Storm drainage system – including cleaning and repairs </w:t>
      </w:r>
    </w:p>
    <w:p w14:paraId="76D87D2E" w14:textId="77777777" w:rsidR="006520CC" w:rsidRDefault="00CD5E3C" w:rsidP="00AC4F08">
      <w:pPr>
        <w:numPr>
          <w:ilvl w:val="1"/>
          <w:numId w:val="2"/>
        </w:numPr>
        <w:ind w:left="720" w:firstLine="360"/>
        <w:jc w:val="both"/>
      </w:pPr>
      <w:r>
        <w:t xml:space="preserve">Tract B - playground equipment, surfacing, borders, and plants </w:t>
      </w:r>
    </w:p>
    <w:p w14:paraId="6A475661" w14:textId="77777777" w:rsidR="006520CC" w:rsidRDefault="00CD5E3C" w:rsidP="00AC4F08">
      <w:pPr>
        <w:numPr>
          <w:ilvl w:val="1"/>
          <w:numId w:val="2"/>
        </w:numPr>
        <w:ind w:left="720" w:firstLine="360"/>
        <w:jc w:val="both"/>
      </w:pPr>
      <w:r>
        <w:t xml:space="preserve">General signage – e.g. stop signs </w:t>
      </w:r>
    </w:p>
    <w:p w14:paraId="27A6152F" w14:textId="77777777" w:rsidR="00E464FB" w:rsidRDefault="00CD5E3C" w:rsidP="00AC4F08">
      <w:pPr>
        <w:numPr>
          <w:ilvl w:val="1"/>
          <w:numId w:val="2"/>
        </w:numPr>
        <w:ind w:left="720" w:firstLine="360"/>
        <w:jc w:val="both"/>
      </w:pPr>
      <w:r>
        <w:t xml:space="preserve">Mailboxes – need to be replaced periodically </w:t>
      </w:r>
    </w:p>
    <w:p w14:paraId="4DC9AD11" w14:textId="50715A68" w:rsidR="006520CC" w:rsidRDefault="00CD5E3C" w:rsidP="00AC4F08">
      <w:pPr>
        <w:numPr>
          <w:ilvl w:val="0"/>
          <w:numId w:val="2"/>
        </w:numPr>
        <w:jc w:val="both"/>
      </w:pPr>
      <w:r>
        <w:t xml:space="preserve">Reserve Fund exclusions: </w:t>
      </w:r>
    </w:p>
    <w:p w14:paraId="4D01393F" w14:textId="611AD203" w:rsidR="006520CC" w:rsidRDefault="00CD5E3C" w:rsidP="00AC4F08">
      <w:pPr>
        <w:numPr>
          <w:ilvl w:val="1"/>
          <w:numId w:val="3"/>
        </w:numPr>
        <w:ind w:hanging="360"/>
        <w:jc w:val="both"/>
      </w:pPr>
      <w:r>
        <w:t xml:space="preserve">Major Replacement or Asphalt Resurfacing of the Roads. Basis: With proper routine maintenance and spot repairs, the roads should not need to be replaced during the 30-year reserve projection. If the roads need major repair or replacement at some point, the current plan </w:t>
      </w:r>
      <w:r w:rsidR="00704B07">
        <w:t>may</w:t>
      </w:r>
      <w:r>
        <w:t xml:space="preserve"> require a special assessment. No special assessment is envisioned within the time frame of this projection (up through 205</w:t>
      </w:r>
      <w:r w:rsidR="00031B1C">
        <w:t>5</w:t>
      </w:r>
      <w:r>
        <w:t xml:space="preserve">). </w:t>
      </w:r>
    </w:p>
    <w:p w14:paraId="42FDF815" w14:textId="77777777" w:rsidR="006520CC" w:rsidRDefault="00CD5E3C" w:rsidP="00AC4F08">
      <w:pPr>
        <w:numPr>
          <w:ilvl w:val="1"/>
          <w:numId w:val="3"/>
        </w:numPr>
        <w:ind w:hanging="360"/>
        <w:jc w:val="both"/>
      </w:pPr>
      <w:r>
        <w:t xml:space="preserve">Replacement of the Entry Monuments. Basis: The intent is to maintain these in good repair through the annual operating budget such that they do not need to be replaced. </w:t>
      </w:r>
    </w:p>
    <w:p w14:paraId="72C67710" w14:textId="49927BA9" w:rsidR="006520CC" w:rsidRDefault="00CD5E3C" w:rsidP="00CB7B0C">
      <w:pPr>
        <w:numPr>
          <w:ilvl w:val="1"/>
          <w:numId w:val="3"/>
        </w:numPr>
        <w:ind w:hanging="360"/>
        <w:jc w:val="both"/>
      </w:pPr>
      <w:r>
        <w:t xml:space="preserve">Tree Removal or Maintenance of the Open Areas and Buffers. Basis: These activities are designated to be funded from the annual operating budget and provisions are made there based on experience. </w:t>
      </w:r>
    </w:p>
    <w:p w14:paraId="42D2958D" w14:textId="77777777" w:rsidR="006520CC" w:rsidRDefault="00CD5E3C" w:rsidP="00AC4F08">
      <w:pPr>
        <w:numPr>
          <w:ilvl w:val="1"/>
          <w:numId w:val="3"/>
        </w:numPr>
        <w:ind w:hanging="360"/>
        <w:jc w:val="both"/>
      </w:pPr>
      <w:r>
        <w:t xml:space="preserve">Repairs for Major Damage Due to Acts of God (e.g. earthquake, landslide, severe windstorm). Basis: These, by nature, are unpredictable and could far outstrip any reasonable provisions. </w:t>
      </w:r>
    </w:p>
    <w:p w14:paraId="23C01C10" w14:textId="77777777" w:rsidR="006520CC" w:rsidRDefault="00CD5E3C" w:rsidP="00AC4F08">
      <w:pPr>
        <w:numPr>
          <w:ilvl w:val="1"/>
          <w:numId w:val="3"/>
        </w:numPr>
        <w:spacing w:after="155"/>
        <w:ind w:hanging="360"/>
        <w:jc w:val="both"/>
      </w:pPr>
      <w:r>
        <w:t xml:space="preserve">Contingency. Basis: The projected total accumulated funds in the reserve account each year provide an adequate contingency over and above annual requirements.  </w:t>
      </w:r>
    </w:p>
    <w:p w14:paraId="1C01637D" w14:textId="77777777" w:rsidR="006520CC" w:rsidRDefault="00CD5E3C" w:rsidP="00AC4F08">
      <w:pPr>
        <w:pStyle w:val="Heading1"/>
        <w:ind w:left="-5"/>
        <w:jc w:val="both"/>
      </w:pPr>
      <w:r>
        <w:t>Basis for Projections</w:t>
      </w:r>
      <w:r>
        <w:rPr>
          <w:u w:val="none"/>
        </w:rPr>
        <w:t xml:space="preserve"> </w:t>
      </w:r>
    </w:p>
    <w:p w14:paraId="7C52656F" w14:textId="7B0BF900" w:rsidR="006520CC" w:rsidRDefault="00CD5E3C" w:rsidP="00AC4F08">
      <w:pPr>
        <w:numPr>
          <w:ilvl w:val="0"/>
          <w:numId w:val="4"/>
        </w:numPr>
        <w:ind w:hanging="360"/>
        <w:jc w:val="both"/>
      </w:pPr>
      <w:r>
        <w:t xml:space="preserve">Following are the bases for the reserve fund costs: </w:t>
      </w:r>
    </w:p>
    <w:p w14:paraId="155C762E" w14:textId="77777777" w:rsidR="006472C2" w:rsidRDefault="006472C2" w:rsidP="006472C2">
      <w:pPr>
        <w:ind w:left="360" w:firstLine="0"/>
      </w:pPr>
    </w:p>
    <w:tbl>
      <w:tblPr>
        <w:tblStyle w:val="TableGrid"/>
        <w:tblW w:w="9352" w:type="dxa"/>
        <w:tblInd w:w="5" w:type="dxa"/>
        <w:tblCellMar>
          <w:top w:w="9" w:type="dxa"/>
          <w:left w:w="106" w:type="dxa"/>
          <w:right w:w="53" w:type="dxa"/>
        </w:tblCellMar>
        <w:tblLook w:val="04A0" w:firstRow="1" w:lastRow="0" w:firstColumn="1" w:lastColumn="0" w:noHBand="0" w:noVBand="1"/>
      </w:tblPr>
      <w:tblGrid>
        <w:gridCol w:w="980"/>
        <w:gridCol w:w="3510"/>
        <w:gridCol w:w="1350"/>
        <w:gridCol w:w="2340"/>
        <w:gridCol w:w="1172"/>
      </w:tblGrid>
      <w:tr w:rsidR="006520CC" w:rsidRPr="006472C2" w14:paraId="5C868D64" w14:textId="77777777" w:rsidTr="006472C2">
        <w:trPr>
          <w:trHeight w:val="470"/>
          <w:tblHeader/>
        </w:trPr>
        <w:tc>
          <w:tcPr>
            <w:tcW w:w="980" w:type="dxa"/>
            <w:tcBorders>
              <w:top w:val="single" w:sz="4" w:space="0" w:color="000000"/>
              <w:left w:val="single" w:sz="4" w:space="0" w:color="000000"/>
              <w:bottom w:val="single" w:sz="4" w:space="0" w:color="000000"/>
              <w:right w:val="single" w:sz="4" w:space="0" w:color="000000"/>
            </w:tcBorders>
            <w:vAlign w:val="bottom"/>
          </w:tcPr>
          <w:p w14:paraId="000A47EB" w14:textId="629C86BC" w:rsidR="006520CC" w:rsidRPr="006472C2" w:rsidRDefault="00CD5E3C" w:rsidP="006472C2">
            <w:pPr>
              <w:spacing w:after="0" w:line="259" w:lineRule="auto"/>
              <w:ind w:left="2" w:firstLine="0"/>
              <w:jc w:val="center"/>
              <w:rPr>
                <w:sz w:val="16"/>
                <w:szCs w:val="18"/>
              </w:rPr>
            </w:pPr>
            <w:r w:rsidRPr="006472C2">
              <w:rPr>
                <w:b/>
                <w:sz w:val="16"/>
                <w:szCs w:val="18"/>
              </w:rPr>
              <w:t>Line No.</w:t>
            </w:r>
          </w:p>
        </w:tc>
        <w:tc>
          <w:tcPr>
            <w:tcW w:w="3510" w:type="dxa"/>
            <w:tcBorders>
              <w:top w:val="single" w:sz="4" w:space="0" w:color="000000"/>
              <w:left w:val="single" w:sz="4" w:space="0" w:color="000000"/>
              <w:bottom w:val="single" w:sz="4" w:space="0" w:color="000000"/>
              <w:right w:val="single" w:sz="4" w:space="0" w:color="000000"/>
            </w:tcBorders>
            <w:vAlign w:val="bottom"/>
          </w:tcPr>
          <w:p w14:paraId="2575A7C3" w14:textId="29E9BDF4" w:rsidR="006520CC" w:rsidRPr="006472C2" w:rsidRDefault="00CD5E3C" w:rsidP="006472C2">
            <w:pPr>
              <w:spacing w:after="0" w:line="259" w:lineRule="auto"/>
              <w:ind w:left="2" w:firstLine="0"/>
              <w:jc w:val="center"/>
              <w:rPr>
                <w:sz w:val="16"/>
                <w:szCs w:val="18"/>
              </w:rPr>
            </w:pPr>
            <w:r w:rsidRPr="006472C2">
              <w:rPr>
                <w:b/>
                <w:sz w:val="16"/>
                <w:szCs w:val="18"/>
              </w:rPr>
              <w:t>Description</w:t>
            </w:r>
          </w:p>
        </w:tc>
        <w:tc>
          <w:tcPr>
            <w:tcW w:w="1350" w:type="dxa"/>
            <w:tcBorders>
              <w:top w:val="single" w:sz="4" w:space="0" w:color="000000"/>
              <w:left w:val="single" w:sz="4" w:space="0" w:color="000000"/>
              <w:bottom w:val="single" w:sz="4" w:space="0" w:color="000000"/>
              <w:right w:val="single" w:sz="4" w:space="0" w:color="000000"/>
            </w:tcBorders>
            <w:vAlign w:val="bottom"/>
          </w:tcPr>
          <w:p w14:paraId="2DB1AFD2" w14:textId="07290373" w:rsidR="006520CC" w:rsidRPr="006472C2" w:rsidRDefault="00CD5E3C" w:rsidP="006472C2">
            <w:pPr>
              <w:spacing w:after="0" w:line="259" w:lineRule="auto"/>
              <w:ind w:left="0" w:firstLine="0"/>
              <w:jc w:val="center"/>
              <w:rPr>
                <w:sz w:val="16"/>
                <w:szCs w:val="18"/>
              </w:rPr>
            </w:pPr>
            <w:proofErr w:type="spellStart"/>
            <w:r w:rsidRPr="006472C2">
              <w:rPr>
                <w:b/>
                <w:sz w:val="16"/>
                <w:szCs w:val="18"/>
              </w:rPr>
              <w:t>Maint</w:t>
            </w:r>
            <w:proofErr w:type="spellEnd"/>
            <w:r w:rsidRPr="006472C2">
              <w:rPr>
                <w:b/>
                <w:sz w:val="16"/>
                <w:szCs w:val="18"/>
              </w:rPr>
              <w:t>.</w:t>
            </w:r>
          </w:p>
          <w:p w14:paraId="14B2D373" w14:textId="4B760308" w:rsidR="006520CC" w:rsidRPr="006472C2" w:rsidRDefault="00CD5E3C" w:rsidP="006472C2">
            <w:pPr>
              <w:spacing w:after="0" w:line="259" w:lineRule="auto"/>
              <w:ind w:left="0" w:firstLine="0"/>
              <w:jc w:val="center"/>
              <w:rPr>
                <w:sz w:val="16"/>
                <w:szCs w:val="18"/>
              </w:rPr>
            </w:pPr>
            <w:r w:rsidRPr="006472C2">
              <w:rPr>
                <w:b/>
                <w:sz w:val="16"/>
                <w:szCs w:val="18"/>
              </w:rPr>
              <w:t>Cycle, yrs</w:t>
            </w:r>
          </w:p>
        </w:tc>
        <w:tc>
          <w:tcPr>
            <w:tcW w:w="2340" w:type="dxa"/>
            <w:tcBorders>
              <w:top w:val="single" w:sz="4" w:space="0" w:color="000000"/>
              <w:left w:val="single" w:sz="4" w:space="0" w:color="000000"/>
              <w:bottom w:val="single" w:sz="4" w:space="0" w:color="000000"/>
              <w:right w:val="single" w:sz="4" w:space="0" w:color="000000"/>
            </w:tcBorders>
            <w:vAlign w:val="bottom"/>
          </w:tcPr>
          <w:p w14:paraId="2B66932F" w14:textId="095F22DA" w:rsidR="006520CC" w:rsidRPr="006472C2" w:rsidRDefault="00CD5E3C" w:rsidP="006472C2">
            <w:pPr>
              <w:spacing w:after="0" w:line="259" w:lineRule="auto"/>
              <w:ind w:left="2" w:firstLine="0"/>
              <w:jc w:val="center"/>
              <w:rPr>
                <w:sz w:val="16"/>
                <w:szCs w:val="18"/>
              </w:rPr>
            </w:pPr>
            <w:r w:rsidRPr="006472C2">
              <w:rPr>
                <w:b/>
                <w:sz w:val="16"/>
                <w:szCs w:val="18"/>
              </w:rPr>
              <w:t>Cost Basis</w:t>
            </w:r>
          </w:p>
        </w:tc>
        <w:tc>
          <w:tcPr>
            <w:tcW w:w="1172" w:type="dxa"/>
            <w:tcBorders>
              <w:top w:val="single" w:sz="4" w:space="0" w:color="000000"/>
              <w:left w:val="single" w:sz="4" w:space="0" w:color="000000"/>
              <w:bottom w:val="single" w:sz="4" w:space="0" w:color="000000"/>
              <w:right w:val="single" w:sz="4" w:space="0" w:color="000000"/>
            </w:tcBorders>
            <w:vAlign w:val="bottom"/>
          </w:tcPr>
          <w:p w14:paraId="19293297" w14:textId="21C8A99D" w:rsidR="006520CC" w:rsidRPr="006472C2" w:rsidRDefault="00CD5E3C" w:rsidP="006472C2">
            <w:pPr>
              <w:spacing w:after="0" w:line="259" w:lineRule="auto"/>
              <w:ind w:left="2" w:firstLine="0"/>
              <w:jc w:val="center"/>
              <w:rPr>
                <w:sz w:val="16"/>
                <w:szCs w:val="18"/>
              </w:rPr>
            </w:pPr>
            <w:r w:rsidRPr="006472C2">
              <w:rPr>
                <w:b/>
                <w:sz w:val="16"/>
                <w:szCs w:val="18"/>
              </w:rPr>
              <w:t>Inflation</w:t>
            </w:r>
          </w:p>
        </w:tc>
      </w:tr>
      <w:tr w:rsidR="006520CC" w:rsidRPr="006472C2" w14:paraId="7D0E4D97" w14:textId="77777777" w:rsidTr="006472C2">
        <w:trPr>
          <w:trHeight w:val="471"/>
        </w:trPr>
        <w:tc>
          <w:tcPr>
            <w:tcW w:w="980" w:type="dxa"/>
            <w:tcBorders>
              <w:top w:val="single" w:sz="4" w:space="0" w:color="000000"/>
              <w:left w:val="single" w:sz="4" w:space="0" w:color="000000"/>
              <w:bottom w:val="single" w:sz="4" w:space="0" w:color="000000"/>
              <w:right w:val="single" w:sz="4" w:space="0" w:color="000000"/>
            </w:tcBorders>
          </w:tcPr>
          <w:p w14:paraId="30EB1A8F" w14:textId="77777777" w:rsidR="006520CC" w:rsidRPr="006472C2" w:rsidRDefault="00CD5E3C">
            <w:pPr>
              <w:spacing w:after="0" w:line="259" w:lineRule="auto"/>
              <w:ind w:left="0" w:right="52" w:firstLine="0"/>
              <w:jc w:val="center"/>
              <w:rPr>
                <w:sz w:val="16"/>
                <w:szCs w:val="18"/>
              </w:rPr>
            </w:pPr>
            <w:r w:rsidRPr="006472C2">
              <w:rPr>
                <w:sz w:val="16"/>
                <w:szCs w:val="18"/>
              </w:rPr>
              <w:t xml:space="preserve">1 </w:t>
            </w:r>
          </w:p>
        </w:tc>
        <w:tc>
          <w:tcPr>
            <w:tcW w:w="3510" w:type="dxa"/>
            <w:tcBorders>
              <w:top w:val="single" w:sz="4" w:space="0" w:color="000000"/>
              <w:left w:val="single" w:sz="4" w:space="0" w:color="000000"/>
              <w:bottom w:val="single" w:sz="4" w:space="0" w:color="000000"/>
              <w:right w:val="single" w:sz="4" w:space="0" w:color="000000"/>
            </w:tcBorders>
          </w:tcPr>
          <w:p w14:paraId="4666A2A3" w14:textId="0F692DE8" w:rsidR="006520CC" w:rsidRPr="006472C2" w:rsidRDefault="00CD5E3C">
            <w:pPr>
              <w:spacing w:after="0" w:line="259" w:lineRule="auto"/>
              <w:ind w:left="2" w:firstLine="0"/>
              <w:rPr>
                <w:sz w:val="16"/>
                <w:szCs w:val="18"/>
              </w:rPr>
            </w:pPr>
            <w:r w:rsidRPr="006472C2">
              <w:rPr>
                <w:sz w:val="16"/>
                <w:szCs w:val="18"/>
              </w:rPr>
              <w:t>Street Maintenance (patching</w:t>
            </w:r>
            <w:r w:rsidR="001F1B3B">
              <w:rPr>
                <w:sz w:val="16"/>
                <w:szCs w:val="18"/>
              </w:rPr>
              <w:t>)</w:t>
            </w:r>
          </w:p>
        </w:tc>
        <w:tc>
          <w:tcPr>
            <w:tcW w:w="1350" w:type="dxa"/>
            <w:tcBorders>
              <w:top w:val="single" w:sz="4" w:space="0" w:color="000000"/>
              <w:left w:val="single" w:sz="4" w:space="0" w:color="000000"/>
              <w:bottom w:val="single" w:sz="4" w:space="0" w:color="000000"/>
              <w:right w:val="single" w:sz="4" w:space="0" w:color="000000"/>
            </w:tcBorders>
          </w:tcPr>
          <w:p w14:paraId="6A7A1404" w14:textId="6425EC54" w:rsidR="006520CC" w:rsidRPr="006472C2" w:rsidRDefault="003C551E">
            <w:pPr>
              <w:spacing w:after="0" w:line="259" w:lineRule="auto"/>
              <w:ind w:left="0" w:right="60" w:firstLine="0"/>
              <w:jc w:val="center"/>
              <w:rPr>
                <w:sz w:val="16"/>
                <w:szCs w:val="18"/>
              </w:rPr>
            </w:pPr>
            <w:r>
              <w:rPr>
                <w:sz w:val="16"/>
                <w:szCs w:val="18"/>
              </w:rPr>
              <w:t>5</w:t>
            </w:r>
          </w:p>
        </w:tc>
        <w:tc>
          <w:tcPr>
            <w:tcW w:w="2340" w:type="dxa"/>
            <w:tcBorders>
              <w:top w:val="single" w:sz="4" w:space="0" w:color="000000"/>
              <w:left w:val="single" w:sz="4" w:space="0" w:color="000000"/>
              <w:bottom w:val="single" w:sz="4" w:space="0" w:color="000000"/>
              <w:right w:val="single" w:sz="4" w:space="0" w:color="000000"/>
            </w:tcBorders>
          </w:tcPr>
          <w:p w14:paraId="685EBE42" w14:textId="000F06B0" w:rsidR="006520CC" w:rsidRPr="006472C2" w:rsidRDefault="00486B68">
            <w:pPr>
              <w:spacing w:after="0" w:line="259" w:lineRule="auto"/>
              <w:ind w:left="2" w:firstLine="0"/>
              <w:rPr>
                <w:sz w:val="16"/>
                <w:szCs w:val="18"/>
              </w:rPr>
            </w:pPr>
            <w:r>
              <w:rPr>
                <w:sz w:val="16"/>
                <w:szCs w:val="18"/>
              </w:rPr>
              <w:t>$</w:t>
            </w:r>
            <w:r w:rsidR="000D0713">
              <w:rPr>
                <w:sz w:val="16"/>
                <w:szCs w:val="18"/>
              </w:rPr>
              <w:t>38,887</w:t>
            </w:r>
            <w:r w:rsidR="00382974">
              <w:rPr>
                <w:sz w:val="16"/>
                <w:szCs w:val="18"/>
              </w:rPr>
              <w:t xml:space="preserve"> (start </w:t>
            </w:r>
            <w:r w:rsidR="00F83875">
              <w:rPr>
                <w:sz w:val="16"/>
                <w:szCs w:val="18"/>
              </w:rPr>
              <w:t>202</w:t>
            </w:r>
            <w:r w:rsidR="00171633">
              <w:rPr>
                <w:sz w:val="16"/>
                <w:szCs w:val="18"/>
              </w:rPr>
              <w:t>3</w:t>
            </w:r>
            <w:r w:rsidR="00F83875">
              <w:rPr>
                <w:sz w:val="16"/>
                <w:szCs w:val="18"/>
              </w:rPr>
              <w:t>)</w:t>
            </w:r>
          </w:p>
        </w:tc>
        <w:tc>
          <w:tcPr>
            <w:tcW w:w="1172" w:type="dxa"/>
            <w:tcBorders>
              <w:top w:val="single" w:sz="4" w:space="0" w:color="000000"/>
              <w:left w:val="single" w:sz="4" w:space="0" w:color="000000"/>
              <w:bottom w:val="single" w:sz="4" w:space="0" w:color="000000"/>
              <w:right w:val="single" w:sz="4" w:space="0" w:color="000000"/>
            </w:tcBorders>
          </w:tcPr>
          <w:p w14:paraId="15B5DDE5" w14:textId="73361FF9" w:rsidR="006520CC" w:rsidRPr="006472C2" w:rsidRDefault="003C551E">
            <w:pPr>
              <w:spacing w:after="0" w:line="259" w:lineRule="auto"/>
              <w:ind w:left="0" w:right="56" w:firstLine="0"/>
              <w:jc w:val="center"/>
              <w:rPr>
                <w:sz w:val="16"/>
                <w:szCs w:val="18"/>
              </w:rPr>
            </w:pPr>
            <w:r>
              <w:rPr>
                <w:sz w:val="16"/>
                <w:szCs w:val="18"/>
              </w:rPr>
              <w:t>5</w:t>
            </w:r>
            <w:r w:rsidR="00CD5E3C" w:rsidRPr="006472C2">
              <w:rPr>
                <w:sz w:val="16"/>
                <w:szCs w:val="18"/>
              </w:rPr>
              <w:t xml:space="preserve">%/yr </w:t>
            </w:r>
          </w:p>
        </w:tc>
      </w:tr>
      <w:tr w:rsidR="001F1B3B" w:rsidRPr="006472C2" w14:paraId="2B9AC433" w14:textId="77777777" w:rsidTr="006472C2">
        <w:trPr>
          <w:trHeight w:val="471"/>
        </w:trPr>
        <w:tc>
          <w:tcPr>
            <w:tcW w:w="980" w:type="dxa"/>
            <w:tcBorders>
              <w:top w:val="single" w:sz="4" w:space="0" w:color="000000"/>
              <w:left w:val="single" w:sz="4" w:space="0" w:color="000000"/>
              <w:bottom w:val="single" w:sz="4" w:space="0" w:color="000000"/>
              <w:right w:val="single" w:sz="4" w:space="0" w:color="000000"/>
            </w:tcBorders>
          </w:tcPr>
          <w:p w14:paraId="13468A05" w14:textId="6B65A1CE" w:rsidR="001F1B3B" w:rsidRDefault="001F1B3B">
            <w:pPr>
              <w:spacing w:after="0" w:line="259" w:lineRule="auto"/>
              <w:ind w:left="0" w:right="52" w:firstLine="0"/>
              <w:jc w:val="center"/>
              <w:rPr>
                <w:sz w:val="16"/>
                <w:szCs w:val="18"/>
              </w:rPr>
            </w:pPr>
            <w:r>
              <w:rPr>
                <w:sz w:val="16"/>
                <w:szCs w:val="18"/>
              </w:rPr>
              <w:t>2</w:t>
            </w:r>
          </w:p>
        </w:tc>
        <w:tc>
          <w:tcPr>
            <w:tcW w:w="3510" w:type="dxa"/>
            <w:tcBorders>
              <w:top w:val="single" w:sz="4" w:space="0" w:color="000000"/>
              <w:left w:val="single" w:sz="4" w:space="0" w:color="000000"/>
              <w:bottom w:val="single" w:sz="4" w:space="0" w:color="000000"/>
              <w:right w:val="single" w:sz="4" w:space="0" w:color="000000"/>
            </w:tcBorders>
          </w:tcPr>
          <w:p w14:paraId="1429A0E9" w14:textId="4BAB673A" w:rsidR="001F1B3B" w:rsidRDefault="000D0713">
            <w:pPr>
              <w:spacing w:after="0" w:line="259" w:lineRule="auto"/>
              <w:ind w:left="2" w:firstLine="0"/>
              <w:rPr>
                <w:sz w:val="16"/>
                <w:szCs w:val="18"/>
              </w:rPr>
            </w:pPr>
            <w:r>
              <w:rPr>
                <w:sz w:val="16"/>
                <w:szCs w:val="18"/>
              </w:rPr>
              <w:t>Street Maintenance (crack fill)</w:t>
            </w:r>
          </w:p>
        </w:tc>
        <w:tc>
          <w:tcPr>
            <w:tcW w:w="1350" w:type="dxa"/>
            <w:tcBorders>
              <w:top w:val="single" w:sz="4" w:space="0" w:color="000000"/>
              <w:left w:val="single" w:sz="4" w:space="0" w:color="000000"/>
              <w:bottom w:val="single" w:sz="4" w:space="0" w:color="000000"/>
              <w:right w:val="single" w:sz="4" w:space="0" w:color="000000"/>
            </w:tcBorders>
          </w:tcPr>
          <w:p w14:paraId="1C0EBBE0" w14:textId="09A40B31" w:rsidR="001F1B3B" w:rsidRDefault="000D0713">
            <w:pPr>
              <w:spacing w:after="0" w:line="259" w:lineRule="auto"/>
              <w:ind w:left="0" w:right="60" w:firstLine="0"/>
              <w:jc w:val="center"/>
              <w:rPr>
                <w:sz w:val="16"/>
                <w:szCs w:val="18"/>
              </w:rPr>
            </w:pPr>
            <w:r>
              <w:rPr>
                <w:sz w:val="16"/>
                <w:szCs w:val="18"/>
              </w:rPr>
              <w:t>1</w:t>
            </w:r>
          </w:p>
        </w:tc>
        <w:tc>
          <w:tcPr>
            <w:tcW w:w="2340" w:type="dxa"/>
            <w:tcBorders>
              <w:top w:val="single" w:sz="4" w:space="0" w:color="000000"/>
              <w:left w:val="single" w:sz="4" w:space="0" w:color="000000"/>
              <w:bottom w:val="single" w:sz="4" w:space="0" w:color="000000"/>
              <w:right w:val="single" w:sz="4" w:space="0" w:color="000000"/>
            </w:tcBorders>
          </w:tcPr>
          <w:p w14:paraId="7C4A40CF" w14:textId="10B76E6A" w:rsidR="001F1B3B" w:rsidRDefault="00A73DDD">
            <w:pPr>
              <w:spacing w:after="0" w:line="259" w:lineRule="auto"/>
              <w:ind w:left="2" w:firstLine="0"/>
              <w:rPr>
                <w:sz w:val="16"/>
                <w:szCs w:val="18"/>
              </w:rPr>
            </w:pPr>
            <w:r>
              <w:rPr>
                <w:sz w:val="16"/>
                <w:szCs w:val="18"/>
              </w:rPr>
              <w:t>$2,000 (start 2024)</w:t>
            </w:r>
          </w:p>
        </w:tc>
        <w:tc>
          <w:tcPr>
            <w:tcW w:w="1172" w:type="dxa"/>
            <w:tcBorders>
              <w:top w:val="single" w:sz="4" w:space="0" w:color="000000"/>
              <w:left w:val="single" w:sz="4" w:space="0" w:color="000000"/>
              <w:bottom w:val="single" w:sz="4" w:space="0" w:color="000000"/>
              <w:right w:val="single" w:sz="4" w:space="0" w:color="000000"/>
            </w:tcBorders>
          </w:tcPr>
          <w:p w14:paraId="47A54D7E" w14:textId="49C1EEF9" w:rsidR="001F1B3B" w:rsidRDefault="00A73DDD">
            <w:pPr>
              <w:spacing w:after="0" w:line="259" w:lineRule="auto"/>
              <w:ind w:left="0" w:right="56" w:firstLine="0"/>
              <w:jc w:val="center"/>
              <w:rPr>
                <w:sz w:val="16"/>
                <w:szCs w:val="18"/>
              </w:rPr>
            </w:pPr>
            <w:r>
              <w:rPr>
                <w:sz w:val="16"/>
                <w:szCs w:val="18"/>
              </w:rPr>
              <w:t>5%/yr</w:t>
            </w:r>
          </w:p>
        </w:tc>
      </w:tr>
      <w:tr w:rsidR="00B638C4" w:rsidRPr="006472C2" w14:paraId="512893FF" w14:textId="77777777" w:rsidTr="006472C2">
        <w:trPr>
          <w:trHeight w:val="471"/>
        </w:trPr>
        <w:tc>
          <w:tcPr>
            <w:tcW w:w="980" w:type="dxa"/>
            <w:tcBorders>
              <w:top w:val="single" w:sz="4" w:space="0" w:color="000000"/>
              <w:left w:val="single" w:sz="4" w:space="0" w:color="000000"/>
              <w:bottom w:val="single" w:sz="4" w:space="0" w:color="000000"/>
              <w:right w:val="single" w:sz="4" w:space="0" w:color="000000"/>
            </w:tcBorders>
          </w:tcPr>
          <w:p w14:paraId="50508257" w14:textId="14D268F1" w:rsidR="00B638C4" w:rsidRPr="006472C2" w:rsidRDefault="00A73DDD">
            <w:pPr>
              <w:spacing w:after="0" w:line="259" w:lineRule="auto"/>
              <w:ind w:left="0" w:right="52" w:firstLine="0"/>
              <w:jc w:val="center"/>
              <w:rPr>
                <w:sz w:val="16"/>
                <w:szCs w:val="18"/>
              </w:rPr>
            </w:pPr>
            <w:r>
              <w:rPr>
                <w:sz w:val="16"/>
                <w:szCs w:val="18"/>
              </w:rPr>
              <w:t>3</w:t>
            </w:r>
          </w:p>
        </w:tc>
        <w:tc>
          <w:tcPr>
            <w:tcW w:w="3510" w:type="dxa"/>
            <w:tcBorders>
              <w:top w:val="single" w:sz="4" w:space="0" w:color="000000"/>
              <w:left w:val="single" w:sz="4" w:space="0" w:color="000000"/>
              <w:bottom w:val="single" w:sz="4" w:space="0" w:color="000000"/>
              <w:right w:val="single" w:sz="4" w:space="0" w:color="000000"/>
            </w:tcBorders>
          </w:tcPr>
          <w:p w14:paraId="3BA51906" w14:textId="7867426C" w:rsidR="00B638C4" w:rsidRPr="006472C2" w:rsidRDefault="003842B4">
            <w:pPr>
              <w:spacing w:after="0" w:line="259" w:lineRule="auto"/>
              <w:ind w:left="2" w:firstLine="0"/>
              <w:rPr>
                <w:sz w:val="16"/>
                <w:szCs w:val="18"/>
              </w:rPr>
            </w:pPr>
            <w:r>
              <w:rPr>
                <w:sz w:val="16"/>
                <w:szCs w:val="18"/>
              </w:rPr>
              <w:t>Street Sealcoating</w:t>
            </w:r>
          </w:p>
        </w:tc>
        <w:tc>
          <w:tcPr>
            <w:tcW w:w="1350" w:type="dxa"/>
            <w:tcBorders>
              <w:top w:val="single" w:sz="4" w:space="0" w:color="000000"/>
              <w:left w:val="single" w:sz="4" w:space="0" w:color="000000"/>
              <w:bottom w:val="single" w:sz="4" w:space="0" w:color="000000"/>
              <w:right w:val="single" w:sz="4" w:space="0" w:color="000000"/>
            </w:tcBorders>
          </w:tcPr>
          <w:p w14:paraId="47BDD7B7" w14:textId="2C6C2C5C" w:rsidR="00B638C4" w:rsidRPr="006472C2" w:rsidRDefault="003842B4">
            <w:pPr>
              <w:spacing w:after="0" w:line="259" w:lineRule="auto"/>
              <w:ind w:left="0" w:right="60" w:firstLine="0"/>
              <w:jc w:val="center"/>
              <w:rPr>
                <w:sz w:val="16"/>
                <w:szCs w:val="18"/>
              </w:rPr>
            </w:pPr>
            <w:r>
              <w:rPr>
                <w:sz w:val="16"/>
                <w:szCs w:val="18"/>
              </w:rPr>
              <w:t>5</w:t>
            </w:r>
          </w:p>
        </w:tc>
        <w:tc>
          <w:tcPr>
            <w:tcW w:w="2340" w:type="dxa"/>
            <w:tcBorders>
              <w:top w:val="single" w:sz="4" w:space="0" w:color="000000"/>
              <w:left w:val="single" w:sz="4" w:space="0" w:color="000000"/>
              <w:bottom w:val="single" w:sz="4" w:space="0" w:color="000000"/>
              <w:right w:val="single" w:sz="4" w:space="0" w:color="000000"/>
            </w:tcBorders>
          </w:tcPr>
          <w:p w14:paraId="59096DD5" w14:textId="4FC73F54" w:rsidR="00B638C4" w:rsidRPr="006472C2" w:rsidRDefault="003842B4">
            <w:pPr>
              <w:spacing w:after="0" w:line="259" w:lineRule="auto"/>
              <w:ind w:left="2" w:firstLine="0"/>
              <w:rPr>
                <w:sz w:val="16"/>
                <w:szCs w:val="18"/>
              </w:rPr>
            </w:pPr>
            <w:r>
              <w:rPr>
                <w:sz w:val="16"/>
                <w:szCs w:val="18"/>
              </w:rPr>
              <w:t>$</w:t>
            </w:r>
            <w:r w:rsidR="00FD53DC">
              <w:rPr>
                <w:sz w:val="16"/>
                <w:szCs w:val="18"/>
              </w:rPr>
              <w:t>50,974</w:t>
            </w:r>
            <w:r w:rsidR="00F83875">
              <w:rPr>
                <w:sz w:val="16"/>
                <w:szCs w:val="18"/>
              </w:rPr>
              <w:t xml:space="preserve"> (start 202</w:t>
            </w:r>
            <w:r w:rsidR="00FD53DC">
              <w:rPr>
                <w:sz w:val="16"/>
                <w:szCs w:val="18"/>
              </w:rPr>
              <w:t>4</w:t>
            </w:r>
            <w:r w:rsidR="00F83875">
              <w:rPr>
                <w:sz w:val="16"/>
                <w:szCs w:val="18"/>
              </w:rPr>
              <w:t>)</w:t>
            </w:r>
          </w:p>
        </w:tc>
        <w:tc>
          <w:tcPr>
            <w:tcW w:w="1172" w:type="dxa"/>
            <w:tcBorders>
              <w:top w:val="single" w:sz="4" w:space="0" w:color="000000"/>
              <w:left w:val="single" w:sz="4" w:space="0" w:color="000000"/>
              <w:bottom w:val="single" w:sz="4" w:space="0" w:color="000000"/>
              <w:right w:val="single" w:sz="4" w:space="0" w:color="000000"/>
            </w:tcBorders>
          </w:tcPr>
          <w:p w14:paraId="59C762DD" w14:textId="76702CCC" w:rsidR="00B638C4" w:rsidRPr="006472C2" w:rsidRDefault="00FD53DC">
            <w:pPr>
              <w:spacing w:after="0" w:line="259" w:lineRule="auto"/>
              <w:ind w:left="0" w:right="56" w:firstLine="0"/>
              <w:jc w:val="center"/>
              <w:rPr>
                <w:sz w:val="16"/>
                <w:szCs w:val="18"/>
              </w:rPr>
            </w:pPr>
            <w:r>
              <w:rPr>
                <w:sz w:val="16"/>
                <w:szCs w:val="18"/>
              </w:rPr>
              <w:t>5</w:t>
            </w:r>
            <w:r w:rsidR="00895F4B" w:rsidRPr="006472C2">
              <w:rPr>
                <w:sz w:val="16"/>
                <w:szCs w:val="18"/>
              </w:rPr>
              <w:t>%/yr</w:t>
            </w:r>
          </w:p>
        </w:tc>
      </w:tr>
      <w:tr w:rsidR="006520CC" w:rsidRPr="006472C2" w14:paraId="28CE805A" w14:textId="77777777" w:rsidTr="006472C2">
        <w:trPr>
          <w:trHeight w:val="240"/>
        </w:trPr>
        <w:tc>
          <w:tcPr>
            <w:tcW w:w="980" w:type="dxa"/>
            <w:tcBorders>
              <w:top w:val="single" w:sz="4" w:space="0" w:color="000000"/>
              <w:left w:val="single" w:sz="4" w:space="0" w:color="000000"/>
              <w:bottom w:val="single" w:sz="4" w:space="0" w:color="000000"/>
              <w:right w:val="single" w:sz="4" w:space="0" w:color="000000"/>
            </w:tcBorders>
          </w:tcPr>
          <w:p w14:paraId="74AE4A02" w14:textId="69A86652" w:rsidR="006520CC" w:rsidRPr="006472C2" w:rsidRDefault="00E13D6E">
            <w:pPr>
              <w:spacing w:after="0" w:line="259" w:lineRule="auto"/>
              <w:ind w:left="0" w:right="52" w:firstLine="0"/>
              <w:jc w:val="center"/>
              <w:rPr>
                <w:sz w:val="16"/>
                <w:szCs w:val="18"/>
              </w:rPr>
            </w:pPr>
            <w:r>
              <w:rPr>
                <w:sz w:val="16"/>
                <w:szCs w:val="18"/>
              </w:rPr>
              <w:t>4</w:t>
            </w:r>
          </w:p>
        </w:tc>
        <w:tc>
          <w:tcPr>
            <w:tcW w:w="3510" w:type="dxa"/>
            <w:tcBorders>
              <w:top w:val="single" w:sz="4" w:space="0" w:color="000000"/>
              <w:left w:val="single" w:sz="4" w:space="0" w:color="000000"/>
              <w:bottom w:val="single" w:sz="4" w:space="0" w:color="000000"/>
              <w:right w:val="single" w:sz="4" w:space="0" w:color="000000"/>
            </w:tcBorders>
          </w:tcPr>
          <w:p w14:paraId="5D5A2D21" w14:textId="77777777" w:rsidR="006520CC" w:rsidRPr="006472C2" w:rsidRDefault="00CD5E3C">
            <w:pPr>
              <w:spacing w:after="0" w:line="259" w:lineRule="auto"/>
              <w:ind w:left="2" w:firstLine="0"/>
              <w:rPr>
                <w:sz w:val="16"/>
                <w:szCs w:val="18"/>
              </w:rPr>
            </w:pPr>
            <w:r w:rsidRPr="006472C2">
              <w:rPr>
                <w:sz w:val="16"/>
                <w:szCs w:val="18"/>
              </w:rPr>
              <w:t xml:space="preserve">Playground Equipment Replacement </w:t>
            </w:r>
          </w:p>
        </w:tc>
        <w:tc>
          <w:tcPr>
            <w:tcW w:w="1350" w:type="dxa"/>
            <w:tcBorders>
              <w:top w:val="single" w:sz="4" w:space="0" w:color="000000"/>
              <w:left w:val="single" w:sz="4" w:space="0" w:color="000000"/>
              <w:bottom w:val="single" w:sz="4" w:space="0" w:color="000000"/>
              <w:right w:val="single" w:sz="4" w:space="0" w:color="000000"/>
            </w:tcBorders>
          </w:tcPr>
          <w:p w14:paraId="6782354F" w14:textId="77777777" w:rsidR="006520CC" w:rsidRPr="006472C2" w:rsidRDefault="00CD5E3C">
            <w:pPr>
              <w:spacing w:after="0" w:line="259" w:lineRule="auto"/>
              <w:ind w:left="0" w:right="60" w:firstLine="0"/>
              <w:jc w:val="center"/>
              <w:rPr>
                <w:sz w:val="16"/>
                <w:szCs w:val="18"/>
              </w:rPr>
            </w:pPr>
            <w:r w:rsidRPr="006472C2">
              <w:rPr>
                <w:sz w:val="16"/>
                <w:szCs w:val="18"/>
              </w:rPr>
              <w:t xml:space="preserve">30 </w:t>
            </w:r>
          </w:p>
        </w:tc>
        <w:tc>
          <w:tcPr>
            <w:tcW w:w="2340" w:type="dxa"/>
            <w:tcBorders>
              <w:top w:val="single" w:sz="4" w:space="0" w:color="000000"/>
              <w:left w:val="single" w:sz="4" w:space="0" w:color="000000"/>
              <w:bottom w:val="single" w:sz="4" w:space="0" w:color="000000"/>
              <w:right w:val="single" w:sz="4" w:space="0" w:color="000000"/>
            </w:tcBorders>
          </w:tcPr>
          <w:p w14:paraId="09440E3D" w14:textId="0C1764EB" w:rsidR="006520CC" w:rsidRPr="006472C2" w:rsidRDefault="00CD5E3C">
            <w:pPr>
              <w:spacing w:after="0" w:line="259" w:lineRule="auto"/>
              <w:ind w:left="2" w:firstLine="0"/>
              <w:rPr>
                <w:sz w:val="16"/>
                <w:szCs w:val="18"/>
              </w:rPr>
            </w:pPr>
            <w:r w:rsidRPr="006472C2">
              <w:rPr>
                <w:sz w:val="16"/>
                <w:szCs w:val="18"/>
              </w:rPr>
              <w:t>Est’d $</w:t>
            </w:r>
            <w:r w:rsidR="00061329">
              <w:rPr>
                <w:sz w:val="16"/>
                <w:szCs w:val="18"/>
              </w:rPr>
              <w:t>30</w:t>
            </w:r>
            <w:r w:rsidR="0031605E">
              <w:rPr>
                <w:sz w:val="16"/>
                <w:szCs w:val="18"/>
              </w:rPr>
              <w:t>,000</w:t>
            </w:r>
            <w:r w:rsidRPr="006472C2">
              <w:rPr>
                <w:sz w:val="16"/>
                <w:szCs w:val="18"/>
              </w:rPr>
              <w:t xml:space="preserve"> (In 203</w:t>
            </w:r>
            <w:r w:rsidR="0031605E">
              <w:rPr>
                <w:sz w:val="16"/>
                <w:szCs w:val="18"/>
              </w:rPr>
              <w:t>7</w:t>
            </w:r>
            <w:r w:rsidRPr="006472C2">
              <w:rPr>
                <w:sz w:val="16"/>
                <w:szCs w:val="18"/>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12E2FB47" w14:textId="765ABB44" w:rsidR="006520CC" w:rsidRPr="006472C2" w:rsidRDefault="006520CC">
            <w:pPr>
              <w:spacing w:after="0" w:line="259" w:lineRule="auto"/>
              <w:ind w:left="0" w:right="56" w:firstLine="0"/>
              <w:jc w:val="center"/>
              <w:rPr>
                <w:sz w:val="16"/>
                <w:szCs w:val="18"/>
              </w:rPr>
            </w:pPr>
          </w:p>
        </w:tc>
      </w:tr>
      <w:tr w:rsidR="006520CC" w:rsidRPr="006472C2" w14:paraId="3787E8C8" w14:textId="77777777" w:rsidTr="006472C2">
        <w:trPr>
          <w:trHeight w:val="240"/>
        </w:trPr>
        <w:tc>
          <w:tcPr>
            <w:tcW w:w="980" w:type="dxa"/>
            <w:tcBorders>
              <w:top w:val="single" w:sz="4" w:space="0" w:color="000000"/>
              <w:left w:val="single" w:sz="4" w:space="0" w:color="000000"/>
              <w:bottom w:val="single" w:sz="4" w:space="0" w:color="000000"/>
              <w:right w:val="single" w:sz="4" w:space="0" w:color="000000"/>
            </w:tcBorders>
          </w:tcPr>
          <w:p w14:paraId="151EC0F5" w14:textId="3FB767D3" w:rsidR="006520CC" w:rsidRPr="006472C2" w:rsidRDefault="00CE5069">
            <w:pPr>
              <w:spacing w:after="0" w:line="259" w:lineRule="auto"/>
              <w:ind w:left="0" w:right="52" w:firstLine="0"/>
              <w:jc w:val="center"/>
              <w:rPr>
                <w:sz w:val="16"/>
                <w:szCs w:val="18"/>
              </w:rPr>
            </w:pPr>
            <w:r>
              <w:rPr>
                <w:sz w:val="16"/>
                <w:szCs w:val="18"/>
              </w:rPr>
              <w:t>5</w:t>
            </w:r>
          </w:p>
        </w:tc>
        <w:tc>
          <w:tcPr>
            <w:tcW w:w="3510" w:type="dxa"/>
            <w:tcBorders>
              <w:top w:val="single" w:sz="4" w:space="0" w:color="000000"/>
              <w:left w:val="single" w:sz="4" w:space="0" w:color="000000"/>
              <w:bottom w:val="single" w:sz="4" w:space="0" w:color="000000"/>
              <w:right w:val="single" w:sz="4" w:space="0" w:color="000000"/>
            </w:tcBorders>
          </w:tcPr>
          <w:p w14:paraId="57DD3CB0" w14:textId="77777777" w:rsidR="006520CC" w:rsidRPr="006472C2" w:rsidRDefault="00CD5E3C">
            <w:pPr>
              <w:spacing w:after="0" w:line="259" w:lineRule="auto"/>
              <w:ind w:left="2" w:firstLine="0"/>
              <w:rPr>
                <w:sz w:val="16"/>
                <w:szCs w:val="18"/>
              </w:rPr>
            </w:pPr>
            <w:r w:rsidRPr="006472C2">
              <w:rPr>
                <w:sz w:val="16"/>
                <w:szCs w:val="18"/>
              </w:rPr>
              <w:t xml:space="preserve">Playground Surface Replacement </w:t>
            </w:r>
          </w:p>
        </w:tc>
        <w:tc>
          <w:tcPr>
            <w:tcW w:w="1350" w:type="dxa"/>
            <w:tcBorders>
              <w:top w:val="single" w:sz="4" w:space="0" w:color="000000"/>
              <w:left w:val="single" w:sz="4" w:space="0" w:color="000000"/>
              <w:bottom w:val="single" w:sz="4" w:space="0" w:color="000000"/>
              <w:right w:val="single" w:sz="4" w:space="0" w:color="000000"/>
            </w:tcBorders>
          </w:tcPr>
          <w:p w14:paraId="5D6E02EE" w14:textId="09A0D086" w:rsidR="006520CC" w:rsidRPr="006472C2" w:rsidRDefault="00737669">
            <w:pPr>
              <w:spacing w:after="0" w:line="259" w:lineRule="auto"/>
              <w:ind w:left="0" w:right="60" w:firstLine="0"/>
              <w:jc w:val="center"/>
              <w:rPr>
                <w:sz w:val="16"/>
                <w:szCs w:val="18"/>
              </w:rPr>
            </w:pPr>
            <w:r>
              <w:rPr>
                <w:sz w:val="16"/>
                <w:szCs w:val="18"/>
              </w:rPr>
              <w:t>3</w:t>
            </w:r>
          </w:p>
        </w:tc>
        <w:tc>
          <w:tcPr>
            <w:tcW w:w="2340" w:type="dxa"/>
            <w:tcBorders>
              <w:top w:val="single" w:sz="4" w:space="0" w:color="000000"/>
              <w:left w:val="single" w:sz="4" w:space="0" w:color="000000"/>
              <w:bottom w:val="single" w:sz="4" w:space="0" w:color="000000"/>
              <w:right w:val="single" w:sz="4" w:space="0" w:color="000000"/>
            </w:tcBorders>
          </w:tcPr>
          <w:p w14:paraId="607339E1" w14:textId="67F04E15" w:rsidR="006520CC" w:rsidRPr="006472C2" w:rsidRDefault="008A6515">
            <w:pPr>
              <w:spacing w:after="0" w:line="259" w:lineRule="auto"/>
              <w:ind w:left="2" w:firstLine="0"/>
              <w:rPr>
                <w:sz w:val="16"/>
                <w:szCs w:val="18"/>
              </w:rPr>
            </w:pPr>
            <w:r>
              <w:rPr>
                <w:sz w:val="16"/>
                <w:szCs w:val="18"/>
              </w:rPr>
              <w:t>Est’d $2</w:t>
            </w:r>
            <w:r w:rsidR="007210EB">
              <w:rPr>
                <w:sz w:val="16"/>
                <w:szCs w:val="18"/>
              </w:rPr>
              <w:t>,700</w:t>
            </w:r>
            <w:r>
              <w:rPr>
                <w:sz w:val="16"/>
                <w:szCs w:val="18"/>
              </w:rPr>
              <w:t xml:space="preserve"> (In 20</w:t>
            </w:r>
            <w:r w:rsidR="00737669">
              <w:rPr>
                <w:sz w:val="16"/>
                <w:szCs w:val="18"/>
              </w:rPr>
              <w:t>24</w:t>
            </w:r>
            <w:r>
              <w:rPr>
                <w:sz w:val="16"/>
                <w:szCs w:val="18"/>
              </w:rPr>
              <w:t>)</w:t>
            </w:r>
            <w:r w:rsidR="00CD5E3C" w:rsidRPr="006472C2">
              <w:rPr>
                <w:sz w:val="16"/>
                <w:szCs w:val="18"/>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3F804946" w14:textId="49465845" w:rsidR="006520CC" w:rsidRPr="006472C2" w:rsidRDefault="00737669">
            <w:pPr>
              <w:spacing w:after="0" w:line="259" w:lineRule="auto"/>
              <w:ind w:left="0" w:right="56" w:firstLine="0"/>
              <w:jc w:val="center"/>
              <w:rPr>
                <w:sz w:val="16"/>
                <w:szCs w:val="18"/>
              </w:rPr>
            </w:pPr>
            <w:r>
              <w:rPr>
                <w:sz w:val="16"/>
                <w:szCs w:val="18"/>
              </w:rPr>
              <w:t>3%/yr</w:t>
            </w:r>
          </w:p>
        </w:tc>
      </w:tr>
      <w:tr w:rsidR="006520CC" w:rsidRPr="006472C2" w14:paraId="3177B485" w14:textId="77777777" w:rsidTr="006472C2">
        <w:trPr>
          <w:trHeight w:val="240"/>
        </w:trPr>
        <w:tc>
          <w:tcPr>
            <w:tcW w:w="980" w:type="dxa"/>
            <w:tcBorders>
              <w:top w:val="single" w:sz="4" w:space="0" w:color="000000"/>
              <w:left w:val="single" w:sz="4" w:space="0" w:color="000000"/>
              <w:bottom w:val="single" w:sz="4" w:space="0" w:color="000000"/>
              <w:right w:val="single" w:sz="4" w:space="0" w:color="000000"/>
            </w:tcBorders>
          </w:tcPr>
          <w:p w14:paraId="73FA1F23" w14:textId="532865F9" w:rsidR="006520CC" w:rsidRPr="006472C2" w:rsidRDefault="00DA44F6">
            <w:pPr>
              <w:spacing w:after="0" w:line="259" w:lineRule="auto"/>
              <w:ind w:left="0" w:right="52" w:firstLine="0"/>
              <w:jc w:val="center"/>
              <w:rPr>
                <w:sz w:val="16"/>
                <w:szCs w:val="18"/>
              </w:rPr>
            </w:pPr>
            <w:r>
              <w:rPr>
                <w:sz w:val="16"/>
                <w:szCs w:val="18"/>
              </w:rPr>
              <w:t>6</w:t>
            </w:r>
          </w:p>
        </w:tc>
        <w:tc>
          <w:tcPr>
            <w:tcW w:w="3510" w:type="dxa"/>
            <w:tcBorders>
              <w:top w:val="single" w:sz="4" w:space="0" w:color="000000"/>
              <w:left w:val="single" w:sz="4" w:space="0" w:color="000000"/>
              <w:bottom w:val="single" w:sz="4" w:space="0" w:color="000000"/>
              <w:right w:val="single" w:sz="4" w:space="0" w:color="000000"/>
            </w:tcBorders>
          </w:tcPr>
          <w:p w14:paraId="5D8983CA" w14:textId="77777777" w:rsidR="006520CC" w:rsidRPr="006472C2" w:rsidRDefault="00CD5E3C">
            <w:pPr>
              <w:spacing w:after="0" w:line="259" w:lineRule="auto"/>
              <w:ind w:left="2" w:firstLine="0"/>
              <w:rPr>
                <w:sz w:val="16"/>
                <w:szCs w:val="18"/>
              </w:rPr>
            </w:pPr>
            <w:r w:rsidRPr="006472C2">
              <w:rPr>
                <w:sz w:val="16"/>
                <w:szCs w:val="18"/>
              </w:rPr>
              <w:t xml:space="preserve">Playground Border Replacement </w:t>
            </w:r>
          </w:p>
        </w:tc>
        <w:tc>
          <w:tcPr>
            <w:tcW w:w="1350" w:type="dxa"/>
            <w:tcBorders>
              <w:top w:val="single" w:sz="4" w:space="0" w:color="000000"/>
              <w:left w:val="single" w:sz="4" w:space="0" w:color="000000"/>
              <w:bottom w:val="single" w:sz="4" w:space="0" w:color="000000"/>
              <w:right w:val="single" w:sz="4" w:space="0" w:color="000000"/>
            </w:tcBorders>
          </w:tcPr>
          <w:p w14:paraId="7F91C2CE" w14:textId="66238C4C" w:rsidR="006520CC" w:rsidRPr="006472C2" w:rsidRDefault="00DA44F6">
            <w:pPr>
              <w:spacing w:after="0" w:line="259" w:lineRule="auto"/>
              <w:ind w:left="0" w:right="60" w:firstLine="0"/>
              <w:jc w:val="center"/>
              <w:rPr>
                <w:sz w:val="16"/>
                <w:szCs w:val="18"/>
              </w:rPr>
            </w:pPr>
            <w:r>
              <w:rPr>
                <w:sz w:val="16"/>
                <w:szCs w:val="18"/>
              </w:rPr>
              <w:t>5</w:t>
            </w:r>
          </w:p>
        </w:tc>
        <w:tc>
          <w:tcPr>
            <w:tcW w:w="2340" w:type="dxa"/>
            <w:tcBorders>
              <w:top w:val="single" w:sz="4" w:space="0" w:color="000000"/>
              <w:left w:val="single" w:sz="4" w:space="0" w:color="000000"/>
              <w:bottom w:val="single" w:sz="4" w:space="0" w:color="000000"/>
              <w:right w:val="single" w:sz="4" w:space="0" w:color="000000"/>
            </w:tcBorders>
          </w:tcPr>
          <w:p w14:paraId="15EB64A8" w14:textId="22F663F4" w:rsidR="006520CC" w:rsidRPr="006472C2" w:rsidRDefault="00DA44F6">
            <w:pPr>
              <w:spacing w:after="0" w:line="259" w:lineRule="auto"/>
              <w:ind w:left="2" w:firstLine="0"/>
              <w:rPr>
                <w:sz w:val="16"/>
                <w:szCs w:val="18"/>
              </w:rPr>
            </w:pPr>
            <w:r>
              <w:rPr>
                <w:sz w:val="16"/>
                <w:szCs w:val="18"/>
              </w:rPr>
              <w:t>$4,</w:t>
            </w:r>
            <w:r w:rsidR="00693535">
              <w:rPr>
                <w:sz w:val="16"/>
                <w:szCs w:val="18"/>
              </w:rPr>
              <w:t>057</w:t>
            </w:r>
            <w:r w:rsidR="00382974">
              <w:rPr>
                <w:sz w:val="16"/>
                <w:szCs w:val="18"/>
              </w:rPr>
              <w:t xml:space="preserve"> (2026)</w:t>
            </w:r>
          </w:p>
        </w:tc>
        <w:tc>
          <w:tcPr>
            <w:tcW w:w="1172" w:type="dxa"/>
            <w:tcBorders>
              <w:top w:val="single" w:sz="4" w:space="0" w:color="000000"/>
              <w:left w:val="single" w:sz="4" w:space="0" w:color="000000"/>
              <w:bottom w:val="single" w:sz="4" w:space="0" w:color="000000"/>
              <w:right w:val="single" w:sz="4" w:space="0" w:color="000000"/>
            </w:tcBorders>
          </w:tcPr>
          <w:p w14:paraId="0281326A" w14:textId="23DF4D8A" w:rsidR="006520CC" w:rsidRPr="006472C2" w:rsidRDefault="00895F4B">
            <w:pPr>
              <w:spacing w:after="0" w:line="259" w:lineRule="auto"/>
              <w:ind w:left="0" w:right="56" w:firstLine="0"/>
              <w:jc w:val="center"/>
              <w:rPr>
                <w:sz w:val="16"/>
                <w:szCs w:val="18"/>
              </w:rPr>
            </w:pPr>
            <w:r>
              <w:rPr>
                <w:sz w:val="16"/>
                <w:szCs w:val="18"/>
              </w:rPr>
              <w:t>3</w:t>
            </w:r>
            <w:r w:rsidRPr="006472C2">
              <w:rPr>
                <w:sz w:val="16"/>
                <w:szCs w:val="18"/>
              </w:rPr>
              <w:t>%/yr</w:t>
            </w:r>
            <w:r w:rsidR="00CD5E3C" w:rsidRPr="006472C2">
              <w:rPr>
                <w:sz w:val="16"/>
                <w:szCs w:val="18"/>
              </w:rPr>
              <w:t xml:space="preserve"> </w:t>
            </w:r>
          </w:p>
        </w:tc>
      </w:tr>
      <w:tr w:rsidR="006520CC" w:rsidRPr="006472C2" w14:paraId="3DEBD660" w14:textId="77777777" w:rsidTr="006472C2">
        <w:trPr>
          <w:trHeight w:val="240"/>
        </w:trPr>
        <w:tc>
          <w:tcPr>
            <w:tcW w:w="980" w:type="dxa"/>
            <w:tcBorders>
              <w:top w:val="single" w:sz="4" w:space="0" w:color="000000"/>
              <w:left w:val="single" w:sz="4" w:space="0" w:color="000000"/>
              <w:bottom w:val="single" w:sz="4" w:space="0" w:color="000000"/>
              <w:right w:val="single" w:sz="4" w:space="0" w:color="000000"/>
            </w:tcBorders>
          </w:tcPr>
          <w:p w14:paraId="58552C02" w14:textId="1DF6B545" w:rsidR="006520CC" w:rsidRPr="006472C2" w:rsidRDefault="00F83875">
            <w:pPr>
              <w:spacing w:after="0" w:line="259" w:lineRule="auto"/>
              <w:ind w:left="0" w:right="52" w:firstLine="0"/>
              <w:jc w:val="center"/>
              <w:rPr>
                <w:sz w:val="16"/>
                <w:szCs w:val="18"/>
              </w:rPr>
            </w:pPr>
            <w:r>
              <w:rPr>
                <w:sz w:val="16"/>
                <w:szCs w:val="18"/>
              </w:rPr>
              <w:t>7</w:t>
            </w:r>
          </w:p>
        </w:tc>
        <w:tc>
          <w:tcPr>
            <w:tcW w:w="3510" w:type="dxa"/>
            <w:tcBorders>
              <w:top w:val="single" w:sz="4" w:space="0" w:color="000000"/>
              <w:left w:val="single" w:sz="4" w:space="0" w:color="000000"/>
              <w:bottom w:val="single" w:sz="4" w:space="0" w:color="000000"/>
              <w:right w:val="single" w:sz="4" w:space="0" w:color="000000"/>
            </w:tcBorders>
          </w:tcPr>
          <w:p w14:paraId="56862377" w14:textId="2536B98D" w:rsidR="006520CC" w:rsidRPr="006472C2" w:rsidRDefault="00CD5E3C">
            <w:pPr>
              <w:spacing w:after="0" w:line="259" w:lineRule="auto"/>
              <w:ind w:left="2" w:firstLine="0"/>
              <w:rPr>
                <w:sz w:val="16"/>
                <w:szCs w:val="18"/>
              </w:rPr>
            </w:pPr>
            <w:r w:rsidRPr="006472C2">
              <w:rPr>
                <w:sz w:val="16"/>
                <w:szCs w:val="18"/>
              </w:rPr>
              <w:t xml:space="preserve">Tract D </w:t>
            </w:r>
            <w:r w:rsidR="009B4A89">
              <w:rPr>
                <w:sz w:val="16"/>
                <w:szCs w:val="18"/>
              </w:rPr>
              <w:t>Resurfacing</w:t>
            </w:r>
          </w:p>
        </w:tc>
        <w:tc>
          <w:tcPr>
            <w:tcW w:w="1350" w:type="dxa"/>
            <w:tcBorders>
              <w:top w:val="single" w:sz="4" w:space="0" w:color="000000"/>
              <w:left w:val="single" w:sz="4" w:space="0" w:color="000000"/>
              <w:bottom w:val="single" w:sz="4" w:space="0" w:color="000000"/>
              <w:right w:val="single" w:sz="4" w:space="0" w:color="000000"/>
            </w:tcBorders>
          </w:tcPr>
          <w:p w14:paraId="730B64CB" w14:textId="25B478D1" w:rsidR="006520CC" w:rsidRPr="006472C2" w:rsidRDefault="009B4A89">
            <w:pPr>
              <w:spacing w:after="0" w:line="259" w:lineRule="auto"/>
              <w:ind w:left="0" w:right="4" w:firstLine="0"/>
              <w:jc w:val="center"/>
              <w:rPr>
                <w:sz w:val="16"/>
                <w:szCs w:val="18"/>
              </w:rPr>
            </w:pPr>
            <w:r>
              <w:rPr>
                <w:sz w:val="16"/>
                <w:szCs w:val="18"/>
              </w:rPr>
              <w:t>5</w:t>
            </w:r>
          </w:p>
        </w:tc>
        <w:tc>
          <w:tcPr>
            <w:tcW w:w="2340" w:type="dxa"/>
            <w:tcBorders>
              <w:top w:val="single" w:sz="4" w:space="0" w:color="000000"/>
              <w:left w:val="single" w:sz="4" w:space="0" w:color="000000"/>
              <w:bottom w:val="single" w:sz="4" w:space="0" w:color="000000"/>
              <w:right w:val="single" w:sz="4" w:space="0" w:color="000000"/>
            </w:tcBorders>
          </w:tcPr>
          <w:p w14:paraId="1726B46A" w14:textId="5E1D08FA" w:rsidR="006520CC" w:rsidRPr="006472C2" w:rsidRDefault="009B4A89">
            <w:pPr>
              <w:spacing w:after="0" w:line="259" w:lineRule="auto"/>
              <w:ind w:left="2" w:firstLine="0"/>
              <w:rPr>
                <w:sz w:val="16"/>
                <w:szCs w:val="18"/>
              </w:rPr>
            </w:pPr>
            <w:r>
              <w:rPr>
                <w:sz w:val="16"/>
                <w:szCs w:val="18"/>
              </w:rPr>
              <w:t>$</w:t>
            </w:r>
            <w:r w:rsidR="00CD098A">
              <w:rPr>
                <w:sz w:val="16"/>
                <w:szCs w:val="18"/>
              </w:rPr>
              <w:t>8,115 (2027)</w:t>
            </w:r>
          </w:p>
        </w:tc>
        <w:tc>
          <w:tcPr>
            <w:tcW w:w="1172" w:type="dxa"/>
            <w:tcBorders>
              <w:top w:val="single" w:sz="4" w:space="0" w:color="000000"/>
              <w:left w:val="single" w:sz="4" w:space="0" w:color="000000"/>
              <w:bottom w:val="single" w:sz="4" w:space="0" w:color="000000"/>
              <w:right w:val="single" w:sz="4" w:space="0" w:color="000000"/>
            </w:tcBorders>
          </w:tcPr>
          <w:p w14:paraId="42E3F2F1" w14:textId="66FEA000" w:rsidR="006520CC" w:rsidRPr="006472C2" w:rsidRDefault="00895F4B">
            <w:pPr>
              <w:spacing w:after="0" w:line="259" w:lineRule="auto"/>
              <w:ind w:left="2" w:firstLine="0"/>
              <w:jc w:val="center"/>
              <w:rPr>
                <w:sz w:val="16"/>
                <w:szCs w:val="18"/>
              </w:rPr>
            </w:pPr>
            <w:r>
              <w:rPr>
                <w:sz w:val="16"/>
                <w:szCs w:val="18"/>
              </w:rPr>
              <w:t>3</w:t>
            </w:r>
            <w:r w:rsidRPr="006472C2">
              <w:rPr>
                <w:sz w:val="16"/>
                <w:szCs w:val="18"/>
              </w:rPr>
              <w:t>%/yr</w:t>
            </w:r>
          </w:p>
        </w:tc>
      </w:tr>
      <w:tr w:rsidR="006520CC" w:rsidRPr="006472C2" w14:paraId="7B06F44D" w14:textId="77777777" w:rsidTr="006472C2">
        <w:trPr>
          <w:trHeight w:val="240"/>
        </w:trPr>
        <w:tc>
          <w:tcPr>
            <w:tcW w:w="980" w:type="dxa"/>
            <w:tcBorders>
              <w:top w:val="single" w:sz="4" w:space="0" w:color="000000"/>
              <w:left w:val="single" w:sz="4" w:space="0" w:color="000000"/>
              <w:bottom w:val="single" w:sz="4" w:space="0" w:color="000000"/>
              <w:right w:val="single" w:sz="4" w:space="0" w:color="000000"/>
            </w:tcBorders>
          </w:tcPr>
          <w:p w14:paraId="1B8BFE03" w14:textId="124B3BF5" w:rsidR="006520CC" w:rsidRPr="006472C2" w:rsidRDefault="00ED58BE">
            <w:pPr>
              <w:spacing w:after="0" w:line="259" w:lineRule="auto"/>
              <w:ind w:left="0" w:right="52" w:firstLine="0"/>
              <w:jc w:val="center"/>
              <w:rPr>
                <w:sz w:val="16"/>
                <w:szCs w:val="18"/>
              </w:rPr>
            </w:pPr>
            <w:r>
              <w:rPr>
                <w:sz w:val="16"/>
                <w:szCs w:val="18"/>
              </w:rPr>
              <w:t>8</w:t>
            </w:r>
          </w:p>
        </w:tc>
        <w:tc>
          <w:tcPr>
            <w:tcW w:w="3510" w:type="dxa"/>
            <w:tcBorders>
              <w:top w:val="single" w:sz="4" w:space="0" w:color="000000"/>
              <w:left w:val="single" w:sz="4" w:space="0" w:color="000000"/>
              <w:bottom w:val="single" w:sz="4" w:space="0" w:color="000000"/>
              <w:right w:val="single" w:sz="4" w:space="0" w:color="000000"/>
            </w:tcBorders>
          </w:tcPr>
          <w:p w14:paraId="649C8A76" w14:textId="77777777" w:rsidR="006520CC" w:rsidRPr="006472C2" w:rsidRDefault="00CD5E3C">
            <w:pPr>
              <w:spacing w:after="0" w:line="259" w:lineRule="auto"/>
              <w:ind w:left="2" w:firstLine="0"/>
              <w:rPr>
                <w:sz w:val="16"/>
                <w:szCs w:val="18"/>
              </w:rPr>
            </w:pPr>
            <w:r w:rsidRPr="006472C2">
              <w:rPr>
                <w:sz w:val="16"/>
                <w:szCs w:val="18"/>
              </w:rPr>
              <w:t xml:space="preserve">Tract B Tables </w:t>
            </w:r>
          </w:p>
        </w:tc>
        <w:tc>
          <w:tcPr>
            <w:tcW w:w="1350" w:type="dxa"/>
            <w:tcBorders>
              <w:top w:val="single" w:sz="4" w:space="0" w:color="000000"/>
              <w:left w:val="single" w:sz="4" w:space="0" w:color="000000"/>
              <w:bottom w:val="single" w:sz="4" w:space="0" w:color="000000"/>
              <w:right w:val="single" w:sz="4" w:space="0" w:color="000000"/>
            </w:tcBorders>
          </w:tcPr>
          <w:p w14:paraId="6478B4BF" w14:textId="61E31B38" w:rsidR="006520CC" w:rsidRPr="006472C2" w:rsidRDefault="00496C35">
            <w:pPr>
              <w:spacing w:after="0" w:line="259" w:lineRule="auto"/>
              <w:ind w:left="0" w:right="4" w:firstLine="0"/>
              <w:jc w:val="center"/>
              <w:rPr>
                <w:sz w:val="16"/>
                <w:szCs w:val="18"/>
              </w:rPr>
            </w:pPr>
            <w:r>
              <w:rPr>
                <w:sz w:val="16"/>
                <w:szCs w:val="18"/>
              </w:rPr>
              <w:t>One time</w:t>
            </w:r>
            <w:r w:rsidR="00CD5E3C" w:rsidRPr="006472C2">
              <w:rPr>
                <w:sz w:val="16"/>
                <w:szCs w:val="18"/>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05BAE21A" w14:textId="21D48B75" w:rsidR="006520CC" w:rsidRPr="006472C2" w:rsidRDefault="00582B49">
            <w:pPr>
              <w:spacing w:after="0" w:line="259" w:lineRule="auto"/>
              <w:ind w:left="2" w:firstLine="0"/>
              <w:rPr>
                <w:sz w:val="16"/>
                <w:szCs w:val="18"/>
              </w:rPr>
            </w:pPr>
            <w:r>
              <w:rPr>
                <w:sz w:val="16"/>
                <w:szCs w:val="18"/>
              </w:rPr>
              <w:t>$</w:t>
            </w:r>
            <w:r w:rsidR="004F2F10">
              <w:rPr>
                <w:sz w:val="16"/>
                <w:szCs w:val="18"/>
              </w:rPr>
              <w:t>3,710 (2027)</w:t>
            </w:r>
          </w:p>
        </w:tc>
        <w:tc>
          <w:tcPr>
            <w:tcW w:w="1172" w:type="dxa"/>
            <w:tcBorders>
              <w:top w:val="single" w:sz="4" w:space="0" w:color="000000"/>
              <w:left w:val="single" w:sz="4" w:space="0" w:color="000000"/>
              <w:bottom w:val="single" w:sz="4" w:space="0" w:color="000000"/>
              <w:right w:val="single" w:sz="4" w:space="0" w:color="000000"/>
            </w:tcBorders>
          </w:tcPr>
          <w:p w14:paraId="6D80A355" w14:textId="77777777" w:rsidR="006520CC" w:rsidRPr="006472C2" w:rsidRDefault="00CD5E3C">
            <w:pPr>
              <w:spacing w:after="0" w:line="259" w:lineRule="auto"/>
              <w:ind w:left="2" w:firstLine="0"/>
              <w:jc w:val="center"/>
              <w:rPr>
                <w:sz w:val="16"/>
                <w:szCs w:val="18"/>
              </w:rPr>
            </w:pPr>
            <w:r w:rsidRPr="006472C2">
              <w:rPr>
                <w:sz w:val="16"/>
                <w:szCs w:val="18"/>
              </w:rPr>
              <w:t xml:space="preserve"> </w:t>
            </w:r>
          </w:p>
        </w:tc>
      </w:tr>
      <w:tr w:rsidR="006520CC" w:rsidRPr="006472C2" w14:paraId="59D1BE88" w14:textId="77777777" w:rsidTr="006472C2">
        <w:trPr>
          <w:trHeight w:val="240"/>
        </w:trPr>
        <w:tc>
          <w:tcPr>
            <w:tcW w:w="980" w:type="dxa"/>
            <w:tcBorders>
              <w:top w:val="single" w:sz="4" w:space="0" w:color="000000"/>
              <w:left w:val="single" w:sz="4" w:space="0" w:color="000000"/>
              <w:bottom w:val="single" w:sz="4" w:space="0" w:color="000000"/>
              <w:right w:val="single" w:sz="4" w:space="0" w:color="000000"/>
            </w:tcBorders>
          </w:tcPr>
          <w:p w14:paraId="448D4348" w14:textId="57DCBE54" w:rsidR="006520CC" w:rsidRPr="006472C2" w:rsidRDefault="004F2F10">
            <w:pPr>
              <w:spacing w:after="0" w:line="259" w:lineRule="auto"/>
              <w:ind w:left="0" w:right="57" w:firstLine="0"/>
              <w:jc w:val="center"/>
              <w:rPr>
                <w:sz w:val="16"/>
                <w:szCs w:val="18"/>
              </w:rPr>
            </w:pPr>
            <w:r>
              <w:rPr>
                <w:sz w:val="16"/>
                <w:szCs w:val="18"/>
              </w:rPr>
              <w:t>10</w:t>
            </w:r>
            <w:r w:rsidR="00CD5E3C" w:rsidRPr="006472C2">
              <w:rPr>
                <w:sz w:val="16"/>
                <w:szCs w:val="18"/>
              </w:rPr>
              <w:t xml:space="preserve"> </w:t>
            </w:r>
          </w:p>
        </w:tc>
        <w:tc>
          <w:tcPr>
            <w:tcW w:w="3510" w:type="dxa"/>
            <w:tcBorders>
              <w:top w:val="single" w:sz="4" w:space="0" w:color="000000"/>
              <w:left w:val="single" w:sz="4" w:space="0" w:color="000000"/>
              <w:bottom w:val="single" w:sz="4" w:space="0" w:color="000000"/>
              <w:right w:val="single" w:sz="4" w:space="0" w:color="000000"/>
            </w:tcBorders>
          </w:tcPr>
          <w:p w14:paraId="7A5AEB42" w14:textId="77777777" w:rsidR="006520CC" w:rsidRPr="006472C2" w:rsidRDefault="00CD5E3C">
            <w:pPr>
              <w:spacing w:after="0" w:line="259" w:lineRule="auto"/>
              <w:ind w:left="2" w:firstLine="0"/>
              <w:rPr>
                <w:sz w:val="16"/>
                <w:szCs w:val="18"/>
              </w:rPr>
            </w:pPr>
            <w:r w:rsidRPr="006472C2">
              <w:rPr>
                <w:sz w:val="16"/>
                <w:szCs w:val="18"/>
              </w:rPr>
              <w:t xml:space="preserve">General Signage </w:t>
            </w:r>
          </w:p>
        </w:tc>
        <w:tc>
          <w:tcPr>
            <w:tcW w:w="1350" w:type="dxa"/>
            <w:tcBorders>
              <w:top w:val="single" w:sz="4" w:space="0" w:color="000000"/>
              <w:left w:val="single" w:sz="4" w:space="0" w:color="000000"/>
              <w:bottom w:val="single" w:sz="4" w:space="0" w:color="000000"/>
              <w:right w:val="single" w:sz="4" w:space="0" w:color="000000"/>
            </w:tcBorders>
          </w:tcPr>
          <w:p w14:paraId="0D004C79" w14:textId="5FC4B9B5" w:rsidR="006520CC" w:rsidRPr="006472C2" w:rsidRDefault="009D5633">
            <w:pPr>
              <w:spacing w:after="0" w:line="259" w:lineRule="auto"/>
              <w:ind w:left="0" w:right="60" w:firstLine="0"/>
              <w:jc w:val="center"/>
              <w:rPr>
                <w:sz w:val="16"/>
                <w:szCs w:val="18"/>
              </w:rPr>
            </w:pPr>
            <w:r>
              <w:rPr>
                <w:sz w:val="16"/>
                <w:szCs w:val="18"/>
              </w:rPr>
              <w:t>10</w:t>
            </w:r>
          </w:p>
        </w:tc>
        <w:tc>
          <w:tcPr>
            <w:tcW w:w="2340" w:type="dxa"/>
            <w:tcBorders>
              <w:top w:val="single" w:sz="4" w:space="0" w:color="000000"/>
              <w:left w:val="single" w:sz="4" w:space="0" w:color="000000"/>
              <w:bottom w:val="single" w:sz="4" w:space="0" w:color="000000"/>
              <w:right w:val="single" w:sz="4" w:space="0" w:color="000000"/>
            </w:tcBorders>
          </w:tcPr>
          <w:p w14:paraId="5F827D6B" w14:textId="6F0D88A8" w:rsidR="006520CC" w:rsidRPr="006472C2" w:rsidRDefault="00CD5E3C">
            <w:pPr>
              <w:spacing w:after="0" w:line="259" w:lineRule="auto"/>
              <w:ind w:left="2" w:firstLine="0"/>
              <w:rPr>
                <w:sz w:val="16"/>
                <w:szCs w:val="18"/>
              </w:rPr>
            </w:pPr>
            <w:r w:rsidRPr="006472C2">
              <w:rPr>
                <w:sz w:val="16"/>
                <w:szCs w:val="18"/>
              </w:rPr>
              <w:t>$</w:t>
            </w:r>
            <w:r w:rsidR="001D6221">
              <w:rPr>
                <w:sz w:val="16"/>
                <w:szCs w:val="18"/>
              </w:rPr>
              <w:t>6</w:t>
            </w:r>
            <w:r w:rsidR="001933D6">
              <w:rPr>
                <w:sz w:val="16"/>
                <w:szCs w:val="18"/>
              </w:rPr>
              <w:t>00 (2030)</w:t>
            </w:r>
          </w:p>
        </w:tc>
        <w:tc>
          <w:tcPr>
            <w:tcW w:w="1172" w:type="dxa"/>
            <w:tcBorders>
              <w:top w:val="single" w:sz="4" w:space="0" w:color="000000"/>
              <w:left w:val="single" w:sz="4" w:space="0" w:color="000000"/>
              <w:bottom w:val="single" w:sz="4" w:space="0" w:color="000000"/>
              <w:right w:val="single" w:sz="4" w:space="0" w:color="000000"/>
            </w:tcBorders>
          </w:tcPr>
          <w:p w14:paraId="2C126C4E" w14:textId="5C2A481B" w:rsidR="006520CC" w:rsidRPr="006472C2" w:rsidRDefault="009D5633">
            <w:pPr>
              <w:spacing w:after="0" w:line="259" w:lineRule="auto"/>
              <w:ind w:left="0" w:right="56" w:firstLine="0"/>
              <w:jc w:val="center"/>
              <w:rPr>
                <w:sz w:val="16"/>
                <w:szCs w:val="18"/>
              </w:rPr>
            </w:pPr>
            <w:r>
              <w:rPr>
                <w:sz w:val="16"/>
                <w:szCs w:val="18"/>
              </w:rPr>
              <w:t>3%/yr</w:t>
            </w:r>
          </w:p>
        </w:tc>
      </w:tr>
      <w:tr w:rsidR="006520CC" w:rsidRPr="006472C2" w14:paraId="297062E3" w14:textId="77777777" w:rsidTr="006472C2">
        <w:trPr>
          <w:trHeight w:val="240"/>
        </w:trPr>
        <w:tc>
          <w:tcPr>
            <w:tcW w:w="980" w:type="dxa"/>
            <w:tcBorders>
              <w:top w:val="single" w:sz="4" w:space="0" w:color="000000"/>
              <w:left w:val="single" w:sz="4" w:space="0" w:color="000000"/>
              <w:bottom w:val="single" w:sz="4" w:space="0" w:color="000000"/>
              <w:right w:val="single" w:sz="4" w:space="0" w:color="000000"/>
            </w:tcBorders>
          </w:tcPr>
          <w:p w14:paraId="5E874B36" w14:textId="41B309E2" w:rsidR="006520CC" w:rsidRPr="006472C2" w:rsidRDefault="001D6221">
            <w:pPr>
              <w:spacing w:after="0" w:line="259" w:lineRule="auto"/>
              <w:ind w:left="0" w:right="57" w:firstLine="0"/>
              <w:jc w:val="center"/>
              <w:rPr>
                <w:sz w:val="16"/>
                <w:szCs w:val="18"/>
              </w:rPr>
            </w:pPr>
            <w:r>
              <w:rPr>
                <w:sz w:val="16"/>
                <w:szCs w:val="18"/>
              </w:rPr>
              <w:t>11</w:t>
            </w:r>
          </w:p>
        </w:tc>
        <w:tc>
          <w:tcPr>
            <w:tcW w:w="3510" w:type="dxa"/>
            <w:tcBorders>
              <w:top w:val="single" w:sz="4" w:space="0" w:color="000000"/>
              <w:left w:val="single" w:sz="4" w:space="0" w:color="000000"/>
              <w:bottom w:val="single" w:sz="4" w:space="0" w:color="000000"/>
              <w:right w:val="single" w:sz="4" w:space="0" w:color="000000"/>
            </w:tcBorders>
          </w:tcPr>
          <w:p w14:paraId="075D2E5D" w14:textId="77777777" w:rsidR="006520CC" w:rsidRPr="006472C2" w:rsidRDefault="00CD5E3C">
            <w:pPr>
              <w:spacing w:after="0" w:line="259" w:lineRule="auto"/>
              <w:ind w:left="2" w:firstLine="0"/>
              <w:rPr>
                <w:sz w:val="16"/>
                <w:szCs w:val="18"/>
              </w:rPr>
            </w:pPr>
            <w:r w:rsidRPr="006472C2">
              <w:rPr>
                <w:sz w:val="16"/>
                <w:szCs w:val="18"/>
              </w:rPr>
              <w:t xml:space="preserve">Mailboxes </w:t>
            </w:r>
          </w:p>
        </w:tc>
        <w:tc>
          <w:tcPr>
            <w:tcW w:w="1350" w:type="dxa"/>
            <w:tcBorders>
              <w:top w:val="single" w:sz="4" w:space="0" w:color="000000"/>
              <w:left w:val="single" w:sz="4" w:space="0" w:color="000000"/>
              <w:bottom w:val="single" w:sz="4" w:space="0" w:color="000000"/>
              <w:right w:val="single" w:sz="4" w:space="0" w:color="000000"/>
            </w:tcBorders>
          </w:tcPr>
          <w:p w14:paraId="1CC84DCD" w14:textId="77777777" w:rsidR="006520CC" w:rsidRPr="006472C2" w:rsidRDefault="00CD5E3C">
            <w:pPr>
              <w:spacing w:after="0" w:line="259" w:lineRule="auto"/>
              <w:ind w:left="0" w:right="60" w:firstLine="0"/>
              <w:jc w:val="center"/>
              <w:rPr>
                <w:sz w:val="16"/>
                <w:szCs w:val="18"/>
              </w:rPr>
            </w:pPr>
            <w:r w:rsidRPr="006472C2">
              <w:rPr>
                <w:sz w:val="16"/>
                <w:szCs w:val="18"/>
              </w:rPr>
              <w:t xml:space="preserve">30 </w:t>
            </w:r>
          </w:p>
        </w:tc>
        <w:tc>
          <w:tcPr>
            <w:tcW w:w="2340" w:type="dxa"/>
            <w:tcBorders>
              <w:top w:val="single" w:sz="4" w:space="0" w:color="000000"/>
              <w:left w:val="single" w:sz="4" w:space="0" w:color="000000"/>
              <w:bottom w:val="single" w:sz="4" w:space="0" w:color="000000"/>
              <w:right w:val="single" w:sz="4" w:space="0" w:color="000000"/>
            </w:tcBorders>
          </w:tcPr>
          <w:p w14:paraId="4B5D64CC" w14:textId="242E817E" w:rsidR="006520CC" w:rsidRPr="006472C2" w:rsidRDefault="00CD5E3C">
            <w:pPr>
              <w:spacing w:after="0" w:line="259" w:lineRule="auto"/>
              <w:ind w:left="2" w:firstLine="0"/>
              <w:rPr>
                <w:sz w:val="16"/>
                <w:szCs w:val="18"/>
              </w:rPr>
            </w:pPr>
            <w:r w:rsidRPr="006472C2">
              <w:rPr>
                <w:sz w:val="16"/>
                <w:szCs w:val="18"/>
              </w:rPr>
              <w:t>$</w:t>
            </w:r>
            <w:r w:rsidR="00582B49">
              <w:rPr>
                <w:sz w:val="16"/>
                <w:szCs w:val="18"/>
              </w:rPr>
              <w:t>17,041 (2027)</w:t>
            </w:r>
          </w:p>
        </w:tc>
        <w:tc>
          <w:tcPr>
            <w:tcW w:w="1172" w:type="dxa"/>
            <w:tcBorders>
              <w:top w:val="single" w:sz="4" w:space="0" w:color="000000"/>
              <w:left w:val="single" w:sz="4" w:space="0" w:color="000000"/>
              <w:bottom w:val="single" w:sz="4" w:space="0" w:color="000000"/>
              <w:right w:val="single" w:sz="4" w:space="0" w:color="000000"/>
            </w:tcBorders>
          </w:tcPr>
          <w:p w14:paraId="58F0D035" w14:textId="272A87D5" w:rsidR="006520CC" w:rsidRPr="006472C2" w:rsidRDefault="006520CC">
            <w:pPr>
              <w:spacing w:after="0" w:line="259" w:lineRule="auto"/>
              <w:ind w:left="0" w:right="56" w:firstLine="0"/>
              <w:jc w:val="center"/>
              <w:rPr>
                <w:sz w:val="16"/>
                <w:szCs w:val="18"/>
              </w:rPr>
            </w:pPr>
          </w:p>
        </w:tc>
      </w:tr>
    </w:tbl>
    <w:p w14:paraId="3CE8B845" w14:textId="67228695" w:rsidR="006520CC" w:rsidRDefault="00CD5E3C">
      <w:pPr>
        <w:spacing w:after="160" w:line="259" w:lineRule="auto"/>
        <w:ind w:left="360" w:firstLine="0"/>
      </w:pPr>
      <w:r>
        <w:t xml:space="preserve"> </w:t>
      </w:r>
    </w:p>
    <w:p w14:paraId="3291E4D0" w14:textId="77777777" w:rsidR="00450936" w:rsidRDefault="00450936">
      <w:pPr>
        <w:spacing w:after="160" w:line="259" w:lineRule="auto"/>
        <w:ind w:left="360" w:firstLine="0"/>
      </w:pPr>
    </w:p>
    <w:p w14:paraId="46F1F9C5" w14:textId="7EE30ACE" w:rsidR="006520CC" w:rsidRDefault="00CD5E3C" w:rsidP="00AC4F08">
      <w:pPr>
        <w:numPr>
          <w:ilvl w:val="0"/>
          <w:numId w:val="4"/>
        </w:numPr>
        <w:ind w:hanging="360"/>
        <w:jc w:val="both"/>
      </w:pPr>
      <w:r>
        <w:lastRenderedPageBreak/>
        <w:t xml:space="preserve">Reserve Fund Accumulation Basis: </w:t>
      </w:r>
    </w:p>
    <w:p w14:paraId="4C07D814" w14:textId="77777777" w:rsidR="006520CC" w:rsidRDefault="00CD5E3C" w:rsidP="00AC4F08">
      <w:pPr>
        <w:numPr>
          <w:ilvl w:val="1"/>
          <w:numId w:val="4"/>
        </w:numPr>
        <w:ind w:hanging="360"/>
        <w:jc w:val="both"/>
      </w:pPr>
      <w:r>
        <w:t xml:space="preserve">The reserve fund consists of: </w:t>
      </w:r>
    </w:p>
    <w:p w14:paraId="63F9451D" w14:textId="77777777" w:rsidR="006520CC" w:rsidRDefault="00CD5E3C" w:rsidP="00AC4F08">
      <w:pPr>
        <w:numPr>
          <w:ilvl w:val="2"/>
          <w:numId w:val="4"/>
        </w:numPr>
        <w:ind w:left="2214" w:hanging="406"/>
        <w:jc w:val="both"/>
      </w:pPr>
      <w:r>
        <w:t xml:space="preserve">Money market account (MMA) – liquid assets </w:t>
      </w:r>
    </w:p>
    <w:p w14:paraId="6CDD5F2C" w14:textId="77777777" w:rsidR="006520CC" w:rsidRDefault="00CD5E3C" w:rsidP="00AC4F08">
      <w:pPr>
        <w:numPr>
          <w:ilvl w:val="2"/>
          <w:numId w:val="4"/>
        </w:numPr>
        <w:ind w:left="2214" w:hanging="406"/>
        <w:jc w:val="both"/>
      </w:pPr>
      <w:r>
        <w:t xml:space="preserve">CD or other conservative, interest-bearing account (AAB CD) </w:t>
      </w:r>
    </w:p>
    <w:p w14:paraId="0398FB92" w14:textId="77777777" w:rsidR="006520CC" w:rsidRDefault="00CD5E3C" w:rsidP="00AC4F08">
      <w:pPr>
        <w:numPr>
          <w:ilvl w:val="2"/>
          <w:numId w:val="4"/>
        </w:numPr>
        <w:ind w:left="2214" w:hanging="406"/>
        <w:jc w:val="both"/>
      </w:pPr>
      <w:r>
        <w:t xml:space="preserve">Annual payments into the account from dues – year-end transfer </w:t>
      </w:r>
    </w:p>
    <w:p w14:paraId="67D1D02F" w14:textId="38288D47" w:rsidR="008E3A83" w:rsidRDefault="00CD5E3C" w:rsidP="008E3A83">
      <w:pPr>
        <w:numPr>
          <w:ilvl w:val="1"/>
          <w:numId w:val="4"/>
        </w:numPr>
        <w:ind w:hanging="360"/>
        <w:jc w:val="both"/>
      </w:pPr>
      <w:r>
        <w:t xml:space="preserve">The amount in the reserve fund was </w:t>
      </w:r>
      <w:r w:rsidRPr="00542C0D">
        <w:rPr>
          <w:color w:val="auto"/>
        </w:rPr>
        <w:t>$</w:t>
      </w:r>
      <w:r w:rsidR="00EF28C7" w:rsidRPr="00542C0D">
        <w:rPr>
          <w:color w:val="auto"/>
        </w:rPr>
        <w:t>19,668</w:t>
      </w:r>
      <w:r w:rsidR="009D663C" w:rsidRPr="00542C0D">
        <w:rPr>
          <w:color w:val="auto"/>
        </w:rPr>
        <w:t xml:space="preserve"> as of </w:t>
      </w:r>
      <w:proofErr w:type="gramStart"/>
      <w:r w:rsidR="00F56063" w:rsidRPr="00542C0D">
        <w:rPr>
          <w:color w:val="auto"/>
        </w:rPr>
        <w:t>8</w:t>
      </w:r>
      <w:r w:rsidR="009D663C" w:rsidRPr="00542C0D">
        <w:rPr>
          <w:color w:val="auto"/>
        </w:rPr>
        <w:t>/3</w:t>
      </w:r>
      <w:r w:rsidR="00F56063" w:rsidRPr="00542C0D">
        <w:rPr>
          <w:color w:val="auto"/>
        </w:rPr>
        <w:t>1</w:t>
      </w:r>
      <w:r w:rsidR="009D663C" w:rsidRPr="00542C0D">
        <w:rPr>
          <w:color w:val="auto"/>
        </w:rPr>
        <w:t>/202</w:t>
      </w:r>
      <w:r w:rsidR="00542C0D" w:rsidRPr="00542C0D">
        <w:rPr>
          <w:color w:val="auto"/>
        </w:rPr>
        <w:t>4</w:t>
      </w:r>
      <w:r w:rsidR="00542C0D">
        <w:rPr>
          <w:color w:val="auto"/>
        </w:rPr>
        <w:t>;</w:t>
      </w:r>
      <w:proofErr w:type="gramEnd"/>
    </w:p>
    <w:p w14:paraId="2C7277DD" w14:textId="24E779D6" w:rsidR="006520CC" w:rsidRDefault="006472C2" w:rsidP="008E3A83">
      <w:pPr>
        <w:numPr>
          <w:ilvl w:val="1"/>
          <w:numId w:val="4"/>
        </w:numPr>
        <w:ind w:hanging="360"/>
        <w:jc w:val="both"/>
      </w:pPr>
      <w:r>
        <w:t xml:space="preserve">The </w:t>
      </w:r>
      <w:r w:rsidR="00AD5650">
        <w:t xml:space="preserve">estimated </w:t>
      </w:r>
      <w:r>
        <w:t>contribution</w:t>
      </w:r>
      <w:r w:rsidR="00AD5650">
        <w:t xml:space="preserve"> for 2025</w:t>
      </w:r>
      <w:r>
        <w:t xml:space="preserve"> is </w:t>
      </w:r>
      <w:r w:rsidR="00CD5E3C">
        <w:t>$</w:t>
      </w:r>
      <w:r w:rsidR="00AD5650">
        <w:t>267</w:t>
      </w:r>
      <w:r w:rsidR="00CD5E3C">
        <w:t xml:space="preserve"> per year per homeowner or </w:t>
      </w:r>
      <w:r w:rsidR="00DA7A11">
        <w:t xml:space="preserve">approximately </w:t>
      </w:r>
      <w:r w:rsidR="00CD5E3C">
        <w:t>$</w:t>
      </w:r>
      <w:r w:rsidR="00D76BB7">
        <w:t>22,000</w:t>
      </w:r>
      <w:r w:rsidR="00B875A0">
        <w:t>,</w:t>
      </w:r>
      <w:r w:rsidR="00CD5E3C">
        <w:t xml:space="preserve"> a contribution rate of </w:t>
      </w:r>
      <w:r w:rsidR="00D76BB7">
        <w:t>approximately 45</w:t>
      </w:r>
      <w:r w:rsidR="00CD5E3C">
        <w:t xml:space="preserve">%. </w:t>
      </w:r>
    </w:p>
    <w:p w14:paraId="3E6D1B5F" w14:textId="4BA839E7" w:rsidR="006520CC" w:rsidRDefault="00CD5E3C" w:rsidP="00AC4F08">
      <w:pPr>
        <w:numPr>
          <w:ilvl w:val="1"/>
          <w:numId w:val="4"/>
        </w:numPr>
        <w:ind w:hanging="360"/>
        <w:jc w:val="both"/>
      </w:pPr>
      <w:r>
        <w:t>The contribution may vary year over year. It is intended that surplus or unallocated funds left at year-end in the operating budget would incrementally be contributed to the reserve fund</w:t>
      </w:r>
      <w:r w:rsidR="00BF7BDD">
        <w:t>.</w:t>
      </w:r>
      <w:r>
        <w:t xml:space="preserve"> </w:t>
      </w:r>
    </w:p>
    <w:p w14:paraId="7ABFED4A" w14:textId="54C57161" w:rsidR="006520CC" w:rsidRDefault="00CD5E3C" w:rsidP="00AC4F08">
      <w:pPr>
        <w:numPr>
          <w:ilvl w:val="1"/>
          <w:numId w:val="4"/>
        </w:numPr>
        <w:spacing w:after="155"/>
        <w:ind w:hanging="360"/>
        <w:jc w:val="both"/>
      </w:pPr>
      <w:r>
        <w:t xml:space="preserve">With effective bidding of work, the reserve fund will benefit from costs below those projected. Conversely, if the inflation rate increases significantly there may </w:t>
      </w:r>
      <w:r w:rsidR="00B875A0">
        <w:t xml:space="preserve">be a </w:t>
      </w:r>
      <w:r>
        <w:t xml:space="preserve">need to increase contributions and dues.  </w:t>
      </w:r>
    </w:p>
    <w:p w14:paraId="290A6B36" w14:textId="47CCAB9A" w:rsidR="00B875A0" w:rsidRDefault="00B35D2A" w:rsidP="00AC4F08">
      <w:pPr>
        <w:pStyle w:val="Heading1"/>
        <w:spacing w:after="0"/>
        <w:ind w:left="-5"/>
        <w:jc w:val="both"/>
        <w:rPr>
          <w:u w:val="none"/>
        </w:rPr>
      </w:pPr>
      <w:r>
        <w:t>Reserve Funding</w:t>
      </w:r>
      <w:r w:rsidR="00D91794">
        <w:t>/Projections</w:t>
      </w:r>
      <w:r w:rsidR="00CD5E3C">
        <w:rPr>
          <w:u w:val="none"/>
        </w:rPr>
        <w:t xml:space="preserve"> </w:t>
      </w:r>
    </w:p>
    <w:p w14:paraId="4C56AE0E" w14:textId="647F2D89" w:rsidR="00B875A0" w:rsidRDefault="00B875A0" w:rsidP="00AC4F08">
      <w:pPr>
        <w:pStyle w:val="Heading1"/>
        <w:spacing w:after="0"/>
        <w:ind w:left="-5"/>
        <w:jc w:val="both"/>
      </w:pPr>
    </w:p>
    <w:p w14:paraId="00A0A4BF" w14:textId="7387588A" w:rsidR="00B35D2A" w:rsidRDefault="00B35D2A" w:rsidP="00D91794">
      <w:pPr>
        <w:ind w:firstLine="0"/>
      </w:pPr>
      <w:r>
        <w:t xml:space="preserve">Roadway maintenance is the largest expenditure that we incur.  The developer did not build the roads to Pierce County standards and therefore, </w:t>
      </w:r>
      <w:r w:rsidR="00847D37">
        <w:t xml:space="preserve">the county </w:t>
      </w:r>
      <w:r>
        <w:t xml:space="preserve">did not assume </w:t>
      </w:r>
      <w:r w:rsidR="00D873BA">
        <w:t>ownership, leaving</w:t>
      </w:r>
      <w:r>
        <w:t xml:space="preserve"> the task of maintenance to the HOA.  Under the current proposed plan, </w:t>
      </w:r>
      <w:r w:rsidR="009523ED">
        <w:t xml:space="preserve">and at the </w:t>
      </w:r>
      <w:r w:rsidR="001B4716">
        <w:t xml:space="preserve">suggestion of paving consultants, </w:t>
      </w:r>
      <w:r>
        <w:t>we will continue to repair potholes</w:t>
      </w:r>
      <w:r w:rsidR="001B4716">
        <w:t xml:space="preserve"> every 5 years and </w:t>
      </w:r>
      <w:proofErr w:type="spellStart"/>
      <w:r w:rsidR="001B4716">
        <w:t>crackfill</w:t>
      </w:r>
      <w:proofErr w:type="spellEnd"/>
      <w:r w:rsidR="001B4716">
        <w:t xml:space="preserve"> </w:t>
      </w:r>
      <w:r>
        <w:t>every year.</w:t>
      </w:r>
      <w:r w:rsidR="007F7185">
        <w:t xml:space="preserve">  </w:t>
      </w:r>
      <w:r>
        <w:t>In addition to the repairs, we will propose to sealcoat the roads every 5 years beginning in 202</w:t>
      </w:r>
      <w:r w:rsidR="00E301A2">
        <w:t>4</w:t>
      </w:r>
      <w:r w:rsidR="00813B3C">
        <w:t xml:space="preserve">.  </w:t>
      </w:r>
      <w:r>
        <w:t xml:space="preserve">Those two combined, amount to </w:t>
      </w:r>
      <w:r w:rsidR="00C05FDA">
        <w:t xml:space="preserve">over </w:t>
      </w:r>
      <w:r>
        <w:t>$</w:t>
      </w:r>
      <w:r w:rsidR="00684CD0">
        <w:t>1,</w:t>
      </w:r>
      <w:r w:rsidR="00C06577">
        <w:t>1</w:t>
      </w:r>
      <w:r w:rsidR="00684CD0">
        <w:t>00</w:t>
      </w:r>
      <w:r>
        <w:t xml:space="preserve">,000 over the next </w:t>
      </w:r>
      <w:r w:rsidR="00D86ADE">
        <w:t>30</w:t>
      </w:r>
      <w:r>
        <w:t xml:space="preserve"> years.</w:t>
      </w:r>
    </w:p>
    <w:p w14:paraId="2D7C6721" w14:textId="77777777" w:rsidR="00DE54C0" w:rsidRDefault="00DE54C0" w:rsidP="00D91794">
      <w:pPr>
        <w:ind w:firstLine="0"/>
      </w:pPr>
    </w:p>
    <w:p w14:paraId="2DDCE631" w14:textId="362E26AE" w:rsidR="00B35D2A" w:rsidRDefault="00B35D2A" w:rsidP="00DE54C0">
      <w:pPr>
        <w:ind w:firstLine="0"/>
      </w:pPr>
      <w:r>
        <w:t>Other large expenditures will be Mailbox replacement in 2027 ($17,000)</w:t>
      </w:r>
      <w:r w:rsidR="00227D75">
        <w:t xml:space="preserve"> and new</w:t>
      </w:r>
      <w:r>
        <w:t xml:space="preserve"> Playground </w:t>
      </w:r>
      <w:r w:rsidR="00227D75">
        <w:t xml:space="preserve">equipment </w:t>
      </w:r>
      <w:r>
        <w:t>in 203</w:t>
      </w:r>
      <w:r w:rsidR="00873137">
        <w:t>7</w:t>
      </w:r>
      <w:r w:rsidR="00E3083B">
        <w:t xml:space="preserve"> at an estimated cost of $</w:t>
      </w:r>
      <w:r w:rsidR="00873137">
        <w:t>30</w:t>
      </w:r>
      <w:r w:rsidR="00E3083B">
        <w:t>,000</w:t>
      </w:r>
      <w:r>
        <w:t>.</w:t>
      </w:r>
    </w:p>
    <w:p w14:paraId="7780EE1B" w14:textId="77777777" w:rsidR="00DE54C0" w:rsidRDefault="00DE54C0" w:rsidP="00DE54C0">
      <w:pPr>
        <w:ind w:firstLine="0"/>
      </w:pPr>
    </w:p>
    <w:p w14:paraId="0E779F20" w14:textId="7C6C5FEC" w:rsidR="00B35D2A" w:rsidRDefault="00B35D2A" w:rsidP="00DE54C0">
      <w:pPr>
        <w:ind w:firstLine="0"/>
      </w:pPr>
      <w:r>
        <w:t>The only income</w:t>
      </w:r>
      <w:r w:rsidR="00847D37">
        <w:t xml:space="preserve"> sources</w:t>
      </w:r>
      <w:r>
        <w:t xml:space="preserve"> the HOA has </w:t>
      </w:r>
      <w:proofErr w:type="gramStart"/>
      <w:r>
        <w:t>are</w:t>
      </w:r>
      <w:proofErr w:type="gramEnd"/>
      <w:r>
        <w:t xml:space="preserve"> the annual homeowner dues.  Currently, this is at $</w:t>
      </w:r>
      <w:r w:rsidR="005762E2">
        <w:t>6</w:t>
      </w:r>
      <w:r>
        <w:t>00/year</w:t>
      </w:r>
      <w:r w:rsidR="0072596E">
        <w:t xml:space="preserve"> with approximately $</w:t>
      </w:r>
      <w:r w:rsidR="005762E2">
        <w:t>260</w:t>
      </w:r>
      <w:r w:rsidR="0072596E">
        <w:t xml:space="preserve"> of that going to Reserves</w:t>
      </w:r>
      <w:r>
        <w:t>.</w:t>
      </w:r>
      <w:r w:rsidR="004C3730">
        <w:t xml:space="preserve">  Assuming general operating costs to increase due to inflation at a rate of </w:t>
      </w:r>
      <w:r w:rsidR="00354AA9">
        <w:t xml:space="preserve">2% annually and no increase in dues, </w:t>
      </w:r>
      <w:r w:rsidR="00B56498">
        <w:t>that contribution will decrease every year.</w:t>
      </w:r>
      <w:r>
        <w:t xml:space="preserve">  At this current amount, the HOA will run out of funds</w:t>
      </w:r>
      <w:r w:rsidR="00BE2FDA">
        <w:t xml:space="preserve"> in 202</w:t>
      </w:r>
      <w:r w:rsidR="00804207">
        <w:t>9</w:t>
      </w:r>
      <w:r w:rsidR="0007407F">
        <w:t xml:space="preserve"> </w:t>
      </w:r>
      <w:r w:rsidR="00DA20CD">
        <w:t>we will be in the red from there on</w:t>
      </w:r>
      <w:r>
        <w:t xml:space="preserve"> and never recover (expenses will outpace income every year).</w:t>
      </w:r>
    </w:p>
    <w:p w14:paraId="0C25D3CA" w14:textId="77777777" w:rsidR="00DE54C0" w:rsidRDefault="00DE54C0" w:rsidP="00DE54C0">
      <w:pPr>
        <w:ind w:firstLine="0"/>
      </w:pPr>
    </w:p>
    <w:p w14:paraId="1E204BE2" w14:textId="7B065FC6" w:rsidR="00B35D2A" w:rsidRDefault="00177AE0" w:rsidP="00DE54C0">
      <w:pPr>
        <w:ind w:firstLine="0"/>
      </w:pPr>
      <w:r>
        <w:t>The PRRHOA Board of Directors is proposing t</w:t>
      </w:r>
      <w:r w:rsidR="00B35D2A">
        <w:t xml:space="preserve">o </w:t>
      </w:r>
      <w:r w:rsidR="0025182F">
        <w:t>maintain</w:t>
      </w:r>
      <w:r w:rsidR="00B35D2A">
        <w:t xml:space="preserve"> the</w:t>
      </w:r>
      <w:r w:rsidR="0025182F">
        <w:t xml:space="preserve"> current</w:t>
      </w:r>
      <w:r w:rsidR="00B35D2A">
        <w:t xml:space="preserve"> HOA dues </w:t>
      </w:r>
      <w:r w:rsidR="0025182F">
        <w:t xml:space="preserve">at </w:t>
      </w:r>
      <w:r w:rsidR="00B35D2A">
        <w:t>$</w:t>
      </w:r>
      <w:r w:rsidR="006D0F2A">
        <w:t>6</w:t>
      </w:r>
      <w:r w:rsidR="00B35D2A">
        <w:t>00</w:t>
      </w:r>
      <w:r w:rsidR="00450663">
        <w:t xml:space="preserve"> through 2026</w:t>
      </w:r>
      <w:r w:rsidR="00315C7A">
        <w:t xml:space="preserve">.  </w:t>
      </w:r>
      <w:proofErr w:type="gramStart"/>
      <w:r w:rsidR="00315C7A">
        <w:t>In order to</w:t>
      </w:r>
      <w:proofErr w:type="gramEnd"/>
      <w:r w:rsidR="00315C7A">
        <w:t xml:space="preserve"> keep the reserves </w:t>
      </w:r>
      <w:r w:rsidR="00304F15">
        <w:t>fully funded</w:t>
      </w:r>
      <w:r w:rsidR="00315C7A">
        <w:t xml:space="preserve"> to meet the future costs</w:t>
      </w:r>
      <w:r w:rsidR="0071314B">
        <w:t xml:space="preserve">, the dues </w:t>
      </w:r>
      <w:r w:rsidR="00411436">
        <w:t xml:space="preserve">will </w:t>
      </w:r>
      <w:r w:rsidR="00847D37">
        <w:t>have to</w:t>
      </w:r>
      <w:r w:rsidR="00411436">
        <w:t xml:space="preserve"> be</w:t>
      </w:r>
      <w:r w:rsidR="0071314B">
        <w:t xml:space="preserve"> increased</w:t>
      </w:r>
      <w:r w:rsidR="00B35D2A">
        <w:t xml:space="preserve"> in 20</w:t>
      </w:r>
      <w:r w:rsidR="009107AF">
        <w:t>2</w:t>
      </w:r>
      <w:r w:rsidR="00450663">
        <w:t>7</w:t>
      </w:r>
      <w:r w:rsidR="00B35D2A">
        <w:t xml:space="preserve"> to $</w:t>
      </w:r>
      <w:r w:rsidR="00C57547">
        <w:t>7</w:t>
      </w:r>
      <w:r w:rsidR="00B35D2A">
        <w:t xml:space="preserve">00, </w:t>
      </w:r>
      <w:r w:rsidR="00E3092E">
        <w:t>and</w:t>
      </w:r>
      <w:r w:rsidR="007B5154">
        <w:t xml:space="preserve"> </w:t>
      </w:r>
      <w:r w:rsidR="0071314B">
        <w:t>again in 20</w:t>
      </w:r>
      <w:r w:rsidR="00C57547">
        <w:t>29</w:t>
      </w:r>
      <w:r w:rsidR="0071314B">
        <w:t xml:space="preserve"> to</w:t>
      </w:r>
      <w:r w:rsidR="00B35D2A">
        <w:t xml:space="preserve"> $</w:t>
      </w:r>
      <w:r w:rsidR="00C57547">
        <w:t>8</w:t>
      </w:r>
      <w:r w:rsidR="00B35D2A">
        <w:t>00</w:t>
      </w:r>
      <w:r w:rsidR="00B74A8D">
        <w:t xml:space="preserve"> and remain at that level through </w:t>
      </w:r>
      <w:r w:rsidR="00D82011">
        <w:t>2031</w:t>
      </w:r>
      <w:r w:rsidR="0071314B">
        <w:t xml:space="preserve">.  </w:t>
      </w:r>
      <w:r w:rsidR="00A758E7">
        <w:t xml:space="preserve">Any further increase will need to be evaluated at that time.  </w:t>
      </w:r>
      <w:r w:rsidR="00D16979">
        <w:t xml:space="preserve">These increases will </w:t>
      </w:r>
      <w:proofErr w:type="gramStart"/>
      <w:r w:rsidR="00D16979">
        <w:t>assure</w:t>
      </w:r>
      <w:proofErr w:type="gramEnd"/>
      <w:r w:rsidR="00D16979">
        <w:t xml:space="preserve"> that </w:t>
      </w:r>
      <w:r w:rsidR="00B35D2A">
        <w:t>we would always have enough funds to cover the</w:t>
      </w:r>
      <w:r w:rsidR="00D16979">
        <w:t xml:space="preserve"> projected </w:t>
      </w:r>
      <w:r w:rsidR="00B35D2A">
        <w:t>expenses and build a surplus.</w:t>
      </w:r>
      <w:r w:rsidR="00E66316">
        <w:t xml:space="preserve">  </w:t>
      </w:r>
      <w:r w:rsidR="009528F3">
        <w:t>There are no special assessments planned for 2025.</w:t>
      </w:r>
    </w:p>
    <w:p w14:paraId="7E02C060" w14:textId="4A9B1A63" w:rsidR="00B35D2A" w:rsidRDefault="00B35D2A" w:rsidP="00B35D2A"/>
    <w:p w14:paraId="3B501704" w14:textId="55B3449F" w:rsidR="00B35D2A" w:rsidRDefault="00B35D2A" w:rsidP="00B35D2A"/>
    <w:p w14:paraId="595C6FD6" w14:textId="4A3B4A0C" w:rsidR="00D46C0C" w:rsidRDefault="00D46C0C" w:rsidP="00B35D2A"/>
    <w:p w14:paraId="5F947803" w14:textId="5DCCFA22" w:rsidR="00D46C0C" w:rsidRDefault="00D46C0C" w:rsidP="00B35D2A"/>
    <w:p w14:paraId="1BA4CB89" w14:textId="77777777" w:rsidR="00D46C0C" w:rsidRDefault="00D46C0C" w:rsidP="00B35D2A"/>
    <w:p w14:paraId="47CA9D5C" w14:textId="77777777" w:rsidR="00B35D2A" w:rsidRPr="00B35D2A" w:rsidRDefault="00B35D2A" w:rsidP="00B35D2A"/>
    <w:p w14:paraId="2FFF31A9" w14:textId="6E3AF1BD" w:rsidR="006520CC" w:rsidRPr="006A4A42" w:rsidRDefault="00561A06" w:rsidP="006A4A42">
      <w:pPr>
        <w:pStyle w:val="Heading1"/>
        <w:spacing w:after="0"/>
        <w:jc w:val="both"/>
      </w:pPr>
      <w:r>
        <w:t>Six</w:t>
      </w:r>
      <w:r w:rsidR="00CD5E3C" w:rsidRPr="006A4A42">
        <w:t>-Year Reserve Account Estimate</w:t>
      </w:r>
      <w:r w:rsidR="00302898" w:rsidRPr="006A4A42">
        <w:t>, End of Year</w:t>
      </w:r>
      <w:r w:rsidR="00CD5E3C" w:rsidRPr="006A4A42">
        <w:t xml:space="preserve"> </w:t>
      </w:r>
      <w:r w:rsidR="006A4A42" w:rsidRPr="006A4A42">
        <w:t>(At Current Contribution)</w:t>
      </w:r>
      <w:r w:rsidR="00CD5E3C" w:rsidRPr="006A4A42">
        <w:t xml:space="preserve"> </w:t>
      </w:r>
    </w:p>
    <w:p w14:paraId="69454FCD" w14:textId="537ED914" w:rsidR="00B875A0" w:rsidRDefault="00B875A0" w:rsidP="00B875A0"/>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5"/>
        <w:gridCol w:w="1051"/>
        <w:gridCol w:w="1051"/>
        <w:gridCol w:w="1051"/>
        <w:gridCol w:w="1051"/>
        <w:gridCol w:w="1062"/>
        <w:gridCol w:w="1062"/>
      </w:tblGrid>
      <w:tr w:rsidR="00FE01E7" w:rsidRPr="00302898" w14:paraId="4B2AAF57" w14:textId="77777777" w:rsidTr="00FA0E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Borders>
              <w:bottom w:val="none" w:sz="0" w:space="0" w:color="auto"/>
            </w:tcBorders>
          </w:tcPr>
          <w:p w14:paraId="7238E131" w14:textId="290306E3" w:rsidR="00FE01E7" w:rsidRPr="00302898" w:rsidRDefault="00FE01E7" w:rsidP="00FE01E7">
            <w:pPr>
              <w:ind w:left="0" w:firstLine="0"/>
              <w:jc w:val="center"/>
              <w:rPr>
                <w:b w:val="0"/>
                <w:bCs w:val="0"/>
                <w:sz w:val="20"/>
                <w:szCs w:val="18"/>
              </w:rPr>
            </w:pPr>
            <w:r w:rsidRPr="00302898">
              <w:rPr>
                <w:b w:val="0"/>
                <w:bCs w:val="0"/>
                <w:sz w:val="20"/>
                <w:szCs w:val="18"/>
              </w:rPr>
              <w:t>Activity</w:t>
            </w:r>
          </w:p>
        </w:tc>
        <w:tc>
          <w:tcPr>
            <w:tcW w:w="1052" w:type="dxa"/>
            <w:tcBorders>
              <w:bottom w:val="none" w:sz="0" w:space="0" w:color="auto"/>
            </w:tcBorders>
          </w:tcPr>
          <w:p w14:paraId="0B23FAEE" w14:textId="47CE33BA" w:rsidR="00FE01E7" w:rsidRPr="00302898" w:rsidRDefault="00FE01E7" w:rsidP="00FE01E7">
            <w:pPr>
              <w:ind w:left="0" w:firstLine="0"/>
              <w:jc w:val="center"/>
              <w:cnfStyle w:val="100000000000" w:firstRow="1" w:lastRow="0" w:firstColumn="0" w:lastColumn="0" w:oddVBand="0" w:evenVBand="0" w:oddHBand="0" w:evenHBand="0" w:firstRowFirstColumn="0" w:firstRowLastColumn="0" w:lastRowFirstColumn="0" w:lastRowLastColumn="0"/>
              <w:rPr>
                <w:b w:val="0"/>
                <w:bCs w:val="0"/>
                <w:sz w:val="20"/>
                <w:szCs w:val="18"/>
              </w:rPr>
            </w:pPr>
            <w:r w:rsidRPr="00302898">
              <w:rPr>
                <w:b w:val="0"/>
                <w:bCs w:val="0"/>
                <w:sz w:val="20"/>
                <w:szCs w:val="18"/>
              </w:rPr>
              <w:t>202</w:t>
            </w:r>
            <w:r w:rsidR="00D82011">
              <w:rPr>
                <w:b w:val="0"/>
                <w:bCs w:val="0"/>
                <w:sz w:val="20"/>
                <w:szCs w:val="18"/>
              </w:rPr>
              <w:t>5</w:t>
            </w:r>
          </w:p>
        </w:tc>
        <w:tc>
          <w:tcPr>
            <w:tcW w:w="1052" w:type="dxa"/>
            <w:tcBorders>
              <w:bottom w:val="none" w:sz="0" w:space="0" w:color="auto"/>
            </w:tcBorders>
          </w:tcPr>
          <w:p w14:paraId="7E5E461D" w14:textId="2D669F3B" w:rsidR="00FE01E7" w:rsidRPr="00302898" w:rsidRDefault="00FE01E7" w:rsidP="00FE01E7">
            <w:pPr>
              <w:ind w:left="0" w:firstLine="0"/>
              <w:jc w:val="center"/>
              <w:cnfStyle w:val="100000000000" w:firstRow="1" w:lastRow="0" w:firstColumn="0" w:lastColumn="0" w:oddVBand="0" w:evenVBand="0" w:oddHBand="0" w:evenHBand="0" w:firstRowFirstColumn="0" w:firstRowLastColumn="0" w:lastRowFirstColumn="0" w:lastRowLastColumn="0"/>
              <w:rPr>
                <w:b w:val="0"/>
                <w:bCs w:val="0"/>
                <w:sz w:val="20"/>
                <w:szCs w:val="18"/>
              </w:rPr>
            </w:pPr>
            <w:r>
              <w:rPr>
                <w:b w:val="0"/>
                <w:bCs w:val="0"/>
                <w:sz w:val="20"/>
                <w:szCs w:val="18"/>
              </w:rPr>
              <w:t>202</w:t>
            </w:r>
            <w:r w:rsidR="00D82011">
              <w:rPr>
                <w:b w:val="0"/>
                <w:bCs w:val="0"/>
                <w:sz w:val="20"/>
                <w:szCs w:val="18"/>
              </w:rPr>
              <w:t>6</w:t>
            </w:r>
          </w:p>
        </w:tc>
        <w:tc>
          <w:tcPr>
            <w:tcW w:w="1052" w:type="dxa"/>
            <w:tcBorders>
              <w:bottom w:val="none" w:sz="0" w:space="0" w:color="auto"/>
            </w:tcBorders>
          </w:tcPr>
          <w:p w14:paraId="01B4B595" w14:textId="32996599" w:rsidR="00FE01E7" w:rsidRPr="00302898" w:rsidRDefault="00FE01E7" w:rsidP="00FE01E7">
            <w:pPr>
              <w:ind w:left="0" w:firstLine="0"/>
              <w:jc w:val="center"/>
              <w:cnfStyle w:val="100000000000" w:firstRow="1" w:lastRow="0" w:firstColumn="0" w:lastColumn="0" w:oddVBand="0" w:evenVBand="0" w:oddHBand="0" w:evenHBand="0" w:firstRowFirstColumn="0" w:firstRowLastColumn="0" w:lastRowFirstColumn="0" w:lastRowLastColumn="0"/>
              <w:rPr>
                <w:b w:val="0"/>
                <w:bCs w:val="0"/>
                <w:sz w:val="20"/>
                <w:szCs w:val="18"/>
              </w:rPr>
            </w:pPr>
            <w:r>
              <w:rPr>
                <w:b w:val="0"/>
                <w:bCs w:val="0"/>
                <w:sz w:val="20"/>
                <w:szCs w:val="18"/>
              </w:rPr>
              <w:t>202</w:t>
            </w:r>
            <w:r w:rsidR="00D82011">
              <w:rPr>
                <w:b w:val="0"/>
                <w:bCs w:val="0"/>
                <w:sz w:val="20"/>
                <w:szCs w:val="18"/>
              </w:rPr>
              <w:t>7</w:t>
            </w:r>
          </w:p>
        </w:tc>
        <w:tc>
          <w:tcPr>
            <w:tcW w:w="1052" w:type="dxa"/>
            <w:tcBorders>
              <w:bottom w:val="none" w:sz="0" w:space="0" w:color="auto"/>
            </w:tcBorders>
          </w:tcPr>
          <w:p w14:paraId="0CA6D01A" w14:textId="17EA63F9" w:rsidR="00FE01E7" w:rsidRPr="00302898" w:rsidRDefault="00FE01E7" w:rsidP="00FE01E7">
            <w:pPr>
              <w:ind w:left="0" w:firstLine="0"/>
              <w:jc w:val="center"/>
              <w:cnfStyle w:val="100000000000" w:firstRow="1" w:lastRow="0" w:firstColumn="0" w:lastColumn="0" w:oddVBand="0" w:evenVBand="0" w:oddHBand="0" w:evenHBand="0" w:firstRowFirstColumn="0" w:firstRowLastColumn="0" w:lastRowFirstColumn="0" w:lastRowLastColumn="0"/>
              <w:rPr>
                <w:b w:val="0"/>
                <w:bCs w:val="0"/>
                <w:sz w:val="20"/>
                <w:szCs w:val="18"/>
              </w:rPr>
            </w:pPr>
            <w:r>
              <w:rPr>
                <w:b w:val="0"/>
                <w:bCs w:val="0"/>
                <w:sz w:val="20"/>
                <w:szCs w:val="18"/>
              </w:rPr>
              <w:t>202</w:t>
            </w:r>
            <w:r w:rsidR="00D82011">
              <w:rPr>
                <w:b w:val="0"/>
                <w:bCs w:val="0"/>
                <w:sz w:val="20"/>
                <w:szCs w:val="18"/>
              </w:rPr>
              <w:t>8</w:t>
            </w:r>
          </w:p>
        </w:tc>
        <w:tc>
          <w:tcPr>
            <w:tcW w:w="1052" w:type="dxa"/>
            <w:tcBorders>
              <w:bottom w:val="none" w:sz="0" w:space="0" w:color="auto"/>
            </w:tcBorders>
          </w:tcPr>
          <w:p w14:paraId="768A270C" w14:textId="1C4AA231" w:rsidR="00FE01E7" w:rsidRPr="00302898" w:rsidRDefault="00FE01E7" w:rsidP="00FE01E7">
            <w:pPr>
              <w:ind w:left="0" w:firstLine="0"/>
              <w:jc w:val="center"/>
              <w:cnfStyle w:val="100000000000" w:firstRow="1" w:lastRow="0" w:firstColumn="0" w:lastColumn="0" w:oddVBand="0" w:evenVBand="0" w:oddHBand="0" w:evenHBand="0" w:firstRowFirstColumn="0" w:firstRowLastColumn="0" w:lastRowFirstColumn="0" w:lastRowLastColumn="0"/>
              <w:rPr>
                <w:b w:val="0"/>
                <w:bCs w:val="0"/>
                <w:sz w:val="20"/>
                <w:szCs w:val="18"/>
              </w:rPr>
            </w:pPr>
            <w:r>
              <w:rPr>
                <w:b w:val="0"/>
                <w:bCs w:val="0"/>
                <w:sz w:val="20"/>
                <w:szCs w:val="18"/>
              </w:rPr>
              <w:t>202</w:t>
            </w:r>
            <w:r w:rsidR="00D82011">
              <w:rPr>
                <w:b w:val="0"/>
                <w:bCs w:val="0"/>
                <w:sz w:val="20"/>
                <w:szCs w:val="18"/>
              </w:rPr>
              <w:t>9</w:t>
            </w:r>
          </w:p>
        </w:tc>
        <w:tc>
          <w:tcPr>
            <w:tcW w:w="1053" w:type="dxa"/>
            <w:tcBorders>
              <w:bottom w:val="none" w:sz="0" w:space="0" w:color="auto"/>
            </w:tcBorders>
          </w:tcPr>
          <w:p w14:paraId="2D08F1A2" w14:textId="59B952BE" w:rsidR="00FE01E7" w:rsidRPr="00302898" w:rsidRDefault="00FE01E7" w:rsidP="00FE01E7">
            <w:pPr>
              <w:ind w:left="0" w:firstLine="0"/>
              <w:jc w:val="center"/>
              <w:cnfStyle w:val="100000000000" w:firstRow="1" w:lastRow="0" w:firstColumn="0" w:lastColumn="0" w:oddVBand="0" w:evenVBand="0" w:oddHBand="0" w:evenHBand="0" w:firstRowFirstColumn="0" w:firstRowLastColumn="0" w:lastRowFirstColumn="0" w:lastRowLastColumn="0"/>
              <w:rPr>
                <w:b w:val="0"/>
                <w:bCs w:val="0"/>
                <w:sz w:val="20"/>
                <w:szCs w:val="18"/>
              </w:rPr>
            </w:pPr>
            <w:r>
              <w:rPr>
                <w:b w:val="0"/>
                <w:bCs w:val="0"/>
                <w:sz w:val="20"/>
                <w:szCs w:val="18"/>
              </w:rPr>
              <w:t>20</w:t>
            </w:r>
            <w:r w:rsidR="00D82011">
              <w:rPr>
                <w:b w:val="0"/>
                <w:bCs w:val="0"/>
                <w:sz w:val="20"/>
                <w:szCs w:val="18"/>
              </w:rPr>
              <w:t>30</w:t>
            </w:r>
          </w:p>
        </w:tc>
      </w:tr>
      <w:tr w:rsidR="002E0B84" w:rsidRPr="00302898" w14:paraId="1FF4184C" w14:textId="77777777" w:rsidTr="00FA0E45">
        <w:tc>
          <w:tcPr>
            <w:cnfStyle w:val="001000000000" w:firstRow="0" w:lastRow="0" w:firstColumn="1" w:lastColumn="0" w:oddVBand="0" w:evenVBand="0" w:oddHBand="0" w:evenHBand="0" w:firstRowFirstColumn="0" w:firstRowLastColumn="0" w:lastRowFirstColumn="0" w:lastRowLastColumn="0"/>
            <w:tcW w:w="3750" w:type="dxa"/>
          </w:tcPr>
          <w:p w14:paraId="3F956E21" w14:textId="020BA518" w:rsidR="002E0B84" w:rsidRPr="00E35FFE" w:rsidRDefault="002E0B84" w:rsidP="002E0B84">
            <w:pPr>
              <w:ind w:left="0" w:firstLine="0"/>
              <w:rPr>
                <w:b w:val="0"/>
                <w:bCs w:val="0"/>
                <w:sz w:val="20"/>
                <w:szCs w:val="18"/>
              </w:rPr>
            </w:pPr>
            <w:r w:rsidRPr="00E35FFE">
              <w:rPr>
                <w:b w:val="0"/>
                <w:bCs w:val="0"/>
                <w:sz w:val="20"/>
                <w:szCs w:val="18"/>
              </w:rPr>
              <w:t>Total Projected Costs, $</w:t>
            </w:r>
          </w:p>
        </w:tc>
        <w:tc>
          <w:tcPr>
            <w:tcW w:w="1052" w:type="dxa"/>
          </w:tcPr>
          <w:p w14:paraId="62AEB370" w14:textId="72ED242C" w:rsidR="002E0B84" w:rsidRPr="00302898" w:rsidRDefault="008D50AF" w:rsidP="002E0B84">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4,100</w:t>
            </w:r>
          </w:p>
        </w:tc>
        <w:tc>
          <w:tcPr>
            <w:tcW w:w="1052" w:type="dxa"/>
          </w:tcPr>
          <w:p w14:paraId="6326CC84" w14:textId="0AAC3CCE" w:rsidR="002E0B84" w:rsidRPr="00302898" w:rsidRDefault="00947C10" w:rsidP="002E0B84">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6,262</w:t>
            </w:r>
          </w:p>
        </w:tc>
        <w:tc>
          <w:tcPr>
            <w:tcW w:w="1052" w:type="dxa"/>
          </w:tcPr>
          <w:p w14:paraId="6280D551" w14:textId="62C66D4E" w:rsidR="002E0B84" w:rsidRPr="00302898" w:rsidRDefault="00947C10" w:rsidP="002E0B84">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34,132</w:t>
            </w:r>
          </w:p>
        </w:tc>
        <w:tc>
          <w:tcPr>
            <w:tcW w:w="1052" w:type="dxa"/>
          </w:tcPr>
          <w:p w14:paraId="03847DD0" w14:textId="56F2E088" w:rsidR="002E0B84" w:rsidRPr="00302898" w:rsidRDefault="00947C10" w:rsidP="002E0B84">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52,062</w:t>
            </w:r>
          </w:p>
        </w:tc>
        <w:tc>
          <w:tcPr>
            <w:tcW w:w="1052" w:type="dxa"/>
          </w:tcPr>
          <w:p w14:paraId="0CDB51EF" w14:textId="51F742C7" w:rsidR="002E0B84" w:rsidRPr="00302898" w:rsidRDefault="00947C10" w:rsidP="002E0B84">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67,553</w:t>
            </w:r>
          </w:p>
        </w:tc>
        <w:tc>
          <w:tcPr>
            <w:tcW w:w="1053" w:type="dxa"/>
          </w:tcPr>
          <w:p w14:paraId="54E2E83C" w14:textId="18DEC2E2" w:rsidR="002E0B84" w:rsidRPr="00302898" w:rsidRDefault="00947C10" w:rsidP="002E0B84">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6,504</w:t>
            </w:r>
          </w:p>
        </w:tc>
      </w:tr>
      <w:tr w:rsidR="002E0B84" w:rsidRPr="00302898" w14:paraId="210BE68C" w14:textId="77777777" w:rsidTr="00FA0E45">
        <w:tc>
          <w:tcPr>
            <w:cnfStyle w:val="001000000000" w:firstRow="0" w:lastRow="0" w:firstColumn="1" w:lastColumn="0" w:oddVBand="0" w:evenVBand="0" w:oddHBand="0" w:evenHBand="0" w:firstRowFirstColumn="0" w:firstRowLastColumn="0" w:lastRowFirstColumn="0" w:lastRowLastColumn="0"/>
            <w:tcW w:w="3750" w:type="dxa"/>
          </w:tcPr>
          <w:p w14:paraId="7254CE8F" w14:textId="0CFDBD5C" w:rsidR="002E0B84" w:rsidRPr="00E35FFE" w:rsidRDefault="002E0B84" w:rsidP="002E0B84">
            <w:pPr>
              <w:ind w:left="0" w:firstLine="0"/>
              <w:rPr>
                <w:b w:val="0"/>
                <w:bCs w:val="0"/>
                <w:sz w:val="20"/>
                <w:szCs w:val="18"/>
              </w:rPr>
            </w:pPr>
            <w:r w:rsidRPr="00E35FFE">
              <w:rPr>
                <w:b w:val="0"/>
                <w:bCs w:val="0"/>
                <w:sz w:val="20"/>
                <w:szCs w:val="18"/>
              </w:rPr>
              <w:t>Total CD and MMA Reserve Funds, $</w:t>
            </w:r>
          </w:p>
        </w:tc>
        <w:tc>
          <w:tcPr>
            <w:tcW w:w="1052" w:type="dxa"/>
            <w:shd w:val="clear" w:color="auto" w:fill="auto"/>
            <w:vAlign w:val="bottom"/>
          </w:tcPr>
          <w:p w14:paraId="3A853192" w14:textId="1A185EC3" w:rsidR="002E0B84" w:rsidRPr="00302898" w:rsidRDefault="0064238F" w:rsidP="002E0B84">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19,761</w:t>
            </w:r>
          </w:p>
        </w:tc>
        <w:tc>
          <w:tcPr>
            <w:tcW w:w="1052" w:type="dxa"/>
            <w:shd w:val="clear" w:color="auto" w:fill="auto"/>
            <w:vAlign w:val="bottom"/>
          </w:tcPr>
          <w:p w14:paraId="22CB7DFD" w14:textId="1FEE0BFD" w:rsidR="002E0B84" w:rsidRPr="00302898" w:rsidRDefault="0064238F" w:rsidP="002E0B84">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45,661</w:t>
            </w:r>
          </w:p>
        </w:tc>
        <w:tc>
          <w:tcPr>
            <w:tcW w:w="1052" w:type="dxa"/>
            <w:shd w:val="clear" w:color="auto" w:fill="auto"/>
            <w:vAlign w:val="bottom"/>
          </w:tcPr>
          <w:p w14:paraId="73AD257A" w14:textId="09AB30BA" w:rsidR="002E0B84" w:rsidRPr="00302898" w:rsidRDefault="007C4249" w:rsidP="002E0B84">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61,007</w:t>
            </w:r>
          </w:p>
        </w:tc>
        <w:tc>
          <w:tcPr>
            <w:tcW w:w="1052" w:type="dxa"/>
            <w:shd w:val="clear" w:color="auto" w:fill="auto"/>
            <w:vAlign w:val="bottom"/>
          </w:tcPr>
          <w:p w14:paraId="5483BFF7" w14:textId="0BFED72D" w:rsidR="002E0B84" w:rsidRPr="00302898" w:rsidRDefault="007C4249" w:rsidP="002E0B84">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47,920</w:t>
            </w:r>
          </w:p>
        </w:tc>
        <w:tc>
          <w:tcPr>
            <w:tcW w:w="1052" w:type="dxa"/>
            <w:shd w:val="clear" w:color="auto" w:fill="auto"/>
            <w:vAlign w:val="bottom"/>
          </w:tcPr>
          <w:p w14:paraId="5D68504E" w14:textId="6A4EEB1A" w:rsidR="002E0B84" w:rsidRPr="00302898" w:rsidRDefault="007C4249" w:rsidP="002E0B84">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16,327</w:t>
            </w:r>
          </w:p>
        </w:tc>
        <w:tc>
          <w:tcPr>
            <w:tcW w:w="1053" w:type="dxa"/>
            <w:shd w:val="clear" w:color="auto" w:fill="auto"/>
            <w:vAlign w:val="bottom"/>
          </w:tcPr>
          <w:p w14:paraId="05DD978E" w14:textId="385D3389" w:rsidR="002E0B84" w:rsidRPr="00302898" w:rsidRDefault="006F1877" w:rsidP="002E0B84">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&lt;31,343&gt;</w:t>
            </w:r>
          </w:p>
        </w:tc>
      </w:tr>
      <w:tr w:rsidR="002E0B84" w:rsidRPr="00302898" w14:paraId="7E823FE0" w14:textId="77777777" w:rsidTr="00FA0E45">
        <w:tc>
          <w:tcPr>
            <w:cnfStyle w:val="001000000000" w:firstRow="0" w:lastRow="0" w:firstColumn="1" w:lastColumn="0" w:oddVBand="0" w:evenVBand="0" w:oddHBand="0" w:evenHBand="0" w:firstRowFirstColumn="0" w:firstRowLastColumn="0" w:lastRowFirstColumn="0" w:lastRowLastColumn="0"/>
            <w:tcW w:w="3750" w:type="dxa"/>
          </w:tcPr>
          <w:p w14:paraId="60985908" w14:textId="4D87F462" w:rsidR="002E0B84" w:rsidRPr="00E35FFE" w:rsidRDefault="002E0B84" w:rsidP="002E0B84">
            <w:pPr>
              <w:ind w:left="0" w:firstLine="0"/>
              <w:rPr>
                <w:b w:val="0"/>
                <w:bCs w:val="0"/>
                <w:sz w:val="20"/>
                <w:szCs w:val="18"/>
              </w:rPr>
            </w:pPr>
            <w:r w:rsidRPr="00E35FFE">
              <w:rPr>
                <w:b w:val="0"/>
                <w:bCs w:val="0"/>
                <w:sz w:val="20"/>
                <w:szCs w:val="18"/>
              </w:rPr>
              <w:t>Additions – Dues &amp; Oper. Surplus, $</w:t>
            </w:r>
          </w:p>
        </w:tc>
        <w:tc>
          <w:tcPr>
            <w:tcW w:w="1052" w:type="dxa"/>
          </w:tcPr>
          <w:p w14:paraId="4F9C6F62" w14:textId="22D768B4" w:rsidR="002E0B84" w:rsidRPr="00302898" w:rsidRDefault="006F1877" w:rsidP="002E0B84">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30,000</w:t>
            </w:r>
          </w:p>
        </w:tc>
        <w:tc>
          <w:tcPr>
            <w:tcW w:w="1052" w:type="dxa"/>
          </w:tcPr>
          <w:p w14:paraId="3F69D686" w14:textId="4D09790C" w:rsidR="002E0B84" w:rsidRPr="00302898" w:rsidRDefault="006F1877" w:rsidP="002E0B84">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21,608</w:t>
            </w:r>
          </w:p>
        </w:tc>
        <w:tc>
          <w:tcPr>
            <w:tcW w:w="1052" w:type="dxa"/>
          </w:tcPr>
          <w:p w14:paraId="5A5796F0" w14:textId="2654893C" w:rsidR="002E0B84" w:rsidRPr="00302898" w:rsidRDefault="006F1877" w:rsidP="002E0B84">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21,044</w:t>
            </w:r>
          </w:p>
        </w:tc>
        <w:tc>
          <w:tcPr>
            <w:tcW w:w="1052" w:type="dxa"/>
          </w:tcPr>
          <w:p w14:paraId="6D46613B" w14:textId="4ABE3BAA" w:rsidR="002E0B84" w:rsidRPr="00302898" w:rsidRDefault="006F1877" w:rsidP="002E0B84">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20,469</w:t>
            </w:r>
          </w:p>
        </w:tc>
        <w:tc>
          <w:tcPr>
            <w:tcW w:w="1052" w:type="dxa"/>
          </w:tcPr>
          <w:p w14:paraId="400D11CA" w14:textId="0248CC1B" w:rsidR="002E0B84" w:rsidRPr="00302898" w:rsidRDefault="00F4375D" w:rsidP="002E0B84">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19,883</w:t>
            </w:r>
          </w:p>
        </w:tc>
        <w:tc>
          <w:tcPr>
            <w:tcW w:w="1053" w:type="dxa"/>
          </w:tcPr>
          <w:p w14:paraId="507047E0" w14:textId="35EDCD76" w:rsidR="002E0B84" w:rsidRPr="00302898" w:rsidRDefault="00F4375D" w:rsidP="002E0B84">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19,284</w:t>
            </w:r>
          </w:p>
        </w:tc>
      </w:tr>
      <w:tr w:rsidR="002E0B84" w:rsidRPr="00302898" w14:paraId="5B6F68A6" w14:textId="77777777" w:rsidTr="00FA0E45">
        <w:tc>
          <w:tcPr>
            <w:cnfStyle w:val="001000000000" w:firstRow="0" w:lastRow="0" w:firstColumn="1" w:lastColumn="0" w:oddVBand="0" w:evenVBand="0" w:oddHBand="0" w:evenHBand="0" w:firstRowFirstColumn="0" w:firstRowLastColumn="0" w:lastRowFirstColumn="0" w:lastRowLastColumn="0"/>
            <w:tcW w:w="3750" w:type="dxa"/>
          </w:tcPr>
          <w:p w14:paraId="52C60DC6" w14:textId="53FEE163" w:rsidR="002E0B84" w:rsidRPr="00302898" w:rsidRDefault="002E0B84" w:rsidP="002E0B84">
            <w:pPr>
              <w:ind w:left="0" w:firstLine="0"/>
              <w:jc w:val="right"/>
              <w:rPr>
                <w:b w:val="0"/>
                <w:bCs w:val="0"/>
                <w:sz w:val="20"/>
                <w:szCs w:val="18"/>
              </w:rPr>
            </w:pPr>
            <w:r w:rsidRPr="00302898">
              <w:rPr>
                <w:b w:val="0"/>
                <w:bCs w:val="0"/>
                <w:sz w:val="20"/>
                <w:szCs w:val="18"/>
              </w:rPr>
              <w:t>Total Reserves at Year End, $</w:t>
            </w:r>
          </w:p>
        </w:tc>
        <w:tc>
          <w:tcPr>
            <w:tcW w:w="1052" w:type="dxa"/>
          </w:tcPr>
          <w:p w14:paraId="130B369B" w14:textId="193B0E07" w:rsidR="002E0B84" w:rsidRPr="00302898" w:rsidRDefault="00F4375D" w:rsidP="002E0B84">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45,661</w:t>
            </w:r>
          </w:p>
        </w:tc>
        <w:tc>
          <w:tcPr>
            <w:tcW w:w="1052" w:type="dxa"/>
          </w:tcPr>
          <w:p w14:paraId="303A8B56" w14:textId="740BE593" w:rsidR="002E0B84" w:rsidRPr="00302898" w:rsidRDefault="00F4375D" w:rsidP="002E0B84">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61,007</w:t>
            </w:r>
          </w:p>
        </w:tc>
        <w:tc>
          <w:tcPr>
            <w:tcW w:w="1052" w:type="dxa"/>
          </w:tcPr>
          <w:p w14:paraId="51003077" w14:textId="466A383A" w:rsidR="002E0B84" w:rsidRPr="00302898" w:rsidRDefault="00A110A5" w:rsidP="002E0B84">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47,920</w:t>
            </w:r>
          </w:p>
        </w:tc>
        <w:tc>
          <w:tcPr>
            <w:tcW w:w="1052" w:type="dxa"/>
          </w:tcPr>
          <w:p w14:paraId="0F503759" w14:textId="44882A47" w:rsidR="002E0B84" w:rsidRPr="00302898" w:rsidRDefault="00A110A5" w:rsidP="002E0B84">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16,327</w:t>
            </w:r>
          </w:p>
        </w:tc>
        <w:tc>
          <w:tcPr>
            <w:tcW w:w="1052" w:type="dxa"/>
          </w:tcPr>
          <w:p w14:paraId="13681D50" w14:textId="00619D8D" w:rsidR="002E0B84" w:rsidRPr="00302898" w:rsidRDefault="00A110A5" w:rsidP="002E0B84">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&lt;31,343&gt;</w:t>
            </w:r>
          </w:p>
        </w:tc>
        <w:tc>
          <w:tcPr>
            <w:tcW w:w="1053" w:type="dxa"/>
          </w:tcPr>
          <w:p w14:paraId="1C394096" w14:textId="1FB23E22" w:rsidR="002E0B84" w:rsidRPr="00302898" w:rsidRDefault="00A110A5" w:rsidP="002E0B84">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&lt;18,562&gt;</w:t>
            </w:r>
          </w:p>
        </w:tc>
      </w:tr>
    </w:tbl>
    <w:p w14:paraId="445AA94F" w14:textId="6798E30F" w:rsidR="00A27218" w:rsidRDefault="00A27218" w:rsidP="00B875A0"/>
    <w:p w14:paraId="43861A8D" w14:textId="12527BA6" w:rsidR="00E06D97" w:rsidRPr="006A4A42" w:rsidRDefault="00561A06" w:rsidP="00E06D97">
      <w:pPr>
        <w:pStyle w:val="Heading1"/>
        <w:spacing w:after="0"/>
        <w:jc w:val="both"/>
      </w:pPr>
      <w:r>
        <w:t>Six</w:t>
      </w:r>
      <w:r w:rsidR="00E06D97" w:rsidRPr="006A4A42">
        <w:t xml:space="preserve">-Year Reserve Account Estimate, End of Year (At </w:t>
      </w:r>
      <w:r>
        <w:t>Proposed</w:t>
      </w:r>
      <w:r w:rsidR="00E06D97" w:rsidRPr="006A4A42">
        <w:t xml:space="preserve"> Contribution) </w:t>
      </w:r>
    </w:p>
    <w:p w14:paraId="0AB56FC3" w14:textId="77777777" w:rsidR="00E06D97" w:rsidRDefault="00E06D97" w:rsidP="00E06D97"/>
    <w:tbl>
      <w:tblPr>
        <w:tblStyle w:val="GridTable1Light"/>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0"/>
        <w:gridCol w:w="1052"/>
        <w:gridCol w:w="1052"/>
        <w:gridCol w:w="1052"/>
        <w:gridCol w:w="1052"/>
        <w:gridCol w:w="1052"/>
        <w:gridCol w:w="1053"/>
      </w:tblGrid>
      <w:tr w:rsidR="00A110A5" w:rsidRPr="00302898" w14:paraId="3C76D902" w14:textId="77777777" w:rsidTr="008C2F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dxa"/>
          </w:tcPr>
          <w:p w14:paraId="6D8D4BD3" w14:textId="77777777" w:rsidR="00A110A5" w:rsidRPr="00302898" w:rsidRDefault="00A110A5" w:rsidP="00A110A5">
            <w:pPr>
              <w:ind w:left="0" w:firstLine="0"/>
              <w:jc w:val="center"/>
              <w:rPr>
                <w:b w:val="0"/>
                <w:bCs w:val="0"/>
                <w:sz w:val="20"/>
                <w:szCs w:val="18"/>
              </w:rPr>
            </w:pPr>
            <w:r w:rsidRPr="00302898">
              <w:rPr>
                <w:b w:val="0"/>
                <w:bCs w:val="0"/>
                <w:sz w:val="20"/>
                <w:szCs w:val="18"/>
              </w:rPr>
              <w:t>Activity</w:t>
            </w:r>
          </w:p>
        </w:tc>
        <w:tc>
          <w:tcPr>
            <w:tcW w:w="1052" w:type="dxa"/>
          </w:tcPr>
          <w:p w14:paraId="2EA0A26B" w14:textId="70117109" w:rsidR="00A110A5" w:rsidRPr="00302898" w:rsidRDefault="00A110A5" w:rsidP="00A110A5">
            <w:pPr>
              <w:ind w:left="0" w:firstLine="0"/>
              <w:jc w:val="center"/>
              <w:cnfStyle w:val="100000000000" w:firstRow="1" w:lastRow="0" w:firstColumn="0" w:lastColumn="0" w:oddVBand="0" w:evenVBand="0" w:oddHBand="0" w:evenHBand="0" w:firstRowFirstColumn="0" w:firstRowLastColumn="0" w:lastRowFirstColumn="0" w:lastRowLastColumn="0"/>
              <w:rPr>
                <w:b w:val="0"/>
                <w:bCs w:val="0"/>
                <w:sz w:val="20"/>
                <w:szCs w:val="18"/>
              </w:rPr>
            </w:pPr>
            <w:r w:rsidRPr="00302898">
              <w:rPr>
                <w:b w:val="0"/>
                <w:bCs w:val="0"/>
                <w:sz w:val="20"/>
                <w:szCs w:val="18"/>
              </w:rPr>
              <w:t>202</w:t>
            </w:r>
            <w:r>
              <w:rPr>
                <w:b w:val="0"/>
                <w:bCs w:val="0"/>
                <w:sz w:val="20"/>
                <w:szCs w:val="18"/>
              </w:rPr>
              <w:t>5</w:t>
            </w:r>
          </w:p>
        </w:tc>
        <w:tc>
          <w:tcPr>
            <w:tcW w:w="1052" w:type="dxa"/>
          </w:tcPr>
          <w:p w14:paraId="6383AA2A" w14:textId="3D81C384" w:rsidR="00A110A5" w:rsidRPr="00302898" w:rsidRDefault="00A110A5" w:rsidP="00A110A5">
            <w:pPr>
              <w:ind w:left="0" w:firstLine="0"/>
              <w:jc w:val="center"/>
              <w:cnfStyle w:val="100000000000" w:firstRow="1" w:lastRow="0" w:firstColumn="0" w:lastColumn="0" w:oddVBand="0" w:evenVBand="0" w:oddHBand="0" w:evenHBand="0" w:firstRowFirstColumn="0" w:firstRowLastColumn="0" w:lastRowFirstColumn="0" w:lastRowLastColumn="0"/>
              <w:rPr>
                <w:b w:val="0"/>
                <w:bCs w:val="0"/>
                <w:sz w:val="20"/>
                <w:szCs w:val="18"/>
              </w:rPr>
            </w:pPr>
            <w:r>
              <w:rPr>
                <w:b w:val="0"/>
                <w:bCs w:val="0"/>
                <w:sz w:val="20"/>
                <w:szCs w:val="18"/>
              </w:rPr>
              <w:t>2026</w:t>
            </w:r>
          </w:p>
        </w:tc>
        <w:tc>
          <w:tcPr>
            <w:tcW w:w="1052" w:type="dxa"/>
          </w:tcPr>
          <w:p w14:paraId="4D23F3CC" w14:textId="60E4CB03" w:rsidR="00A110A5" w:rsidRPr="00302898" w:rsidRDefault="00A110A5" w:rsidP="00A110A5">
            <w:pPr>
              <w:ind w:left="0" w:firstLine="0"/>
              <w:jc w:val="center"/>
              <w:cnfStyle w:val="100000000000" w:firstRow="1" w:lastRow="0" w:firstColumn="0" w:lastColumn="0" w:oddVBand="0" w:evenVBand="0" w:oddHBand="0" w:evenHBand="0" w:firstRowFirstColumn="0" w:firstRowLastColumn="0" w:lastRowFirstColumn="0" w:lastRowLastColumn="0"/>
              <w:rPr>
                <w:b w:val="0"/>
                <w:bCs w:val="0"/>
                <w:sz w:val="20"/>
                <w:szCs w:val="18"/>
              </w:rPr>
            </w:pPr>
            <w:r>
              <w:rPr>
                <w:b w:val="0"/>
                <w:bCs w:val="0"/>
                <w:sz w:val="20"/>
                <w:szCs w:val="18"/>
              </w:rPr>
              <w:t>2027</w:t>
            </w:r>
          </w:p>
        </w:tc>
        <w:tc>
          <w:tcPr>
            <w:tcW w:w="1052" w:type="dxa"/>
          </w:tcPr>
          <w:p w14:paraId="774CB5DE" w14:textId="6024DDB4" w:rsidR="00A110A5" w:rsidRPr="00302898" w:rsidRDefault="00A110A5" w:rsidP="00A110A5">
            <w:pPr>
              <w:ind w:left="0" w:firstLine="0"/>
              <w:jc w:val="center"/>
              <w:cnfStyle w:val="100000000000" w:firstRow="1" w:lastRow="0" w:firstColumn="0" w:lastColumn="0" w:oddVBand="0" w:evenVBand="0" w:oddHBand="0" w:evenHBand="0" w:firstRowFirstColumn="0" w:firstRowLastColumn="0" w:lastRowFirstColumn="0" w:lastRowLastColumn="0"/>
              <w:rPr>
                <w:b w:val="0"/>
                <w:bCs w:val="0"/>
                <w:sz w:val="20"/>
                <w:szCs w:val="18"/>
              </w:rPr>
            </w:pPr>
            <w:r>
              <w:rPr>
                <w:b w:val="0"/>
                <w:bCs w:val="0"/>
                <w:sz w:val="20"/>
                <w:szCs w:val="18"/>
              </w:rPr>
              <w:t>2028</w:t>
            </w:r>
          </w:p>
        </w:tc>
        <w:tc>
          <w:tcPr>
            <w:tcW w:w="1052" w:type="dxa"/>
          </w:tcPr>
          <w:p w14:paraId="54EA00E8" w14:textId="78C3378F" w:rsidR="00A110A5" w:rsidRPr="00302898" w:rsidRDefault="00A110A5" w:rsidP="00A110A5">
            <w:pPr>
              <w:ind w:left="0" w:firstLine="0"/>
              <w:jc w:val="center"/>
              <w:cnfStyle w:val="100000000000" w:firstRow="1" w:lastRow="0" w:firstColumn="0" w:lastColumn="0" w:oddVBand="0" w:evenVBand="0" w:oddHBand="0" w:evenHBand="0" w:firstRowFirstColumn="0" w:firstRowLastColumn="0" w:lastRowFirstColumn="0" w:lastRowLastColumn="0"/>
              <w:rPr>
                <w:b w:val="0"/>
                <w:bCs w:val="0"/>
                <w:sz w:val="20"/>
                <w:szCs w:val="18"/>
              </w:rPr>
            </w:pPr>
            <w:r>
              <w:rPr>
                <w:b w:val="0"/>
                <w:bCs w:val="0"/>
                <w:sz w:val="20"/>
                <w:szCs w:val="18"/>
              </w:rPr>
              <w:t>2029</w:t>
            </w:r>
          </w:p>
        </w:tc>
        <w:tc>
          <w:tcPr>
            <w:tcW w:w="1053" w:type="dxa"/>
          </w:tcPr>
          <w:p w14:paraId="64521830" w14:textId="0CF4F871" w:rsidR="00A110A5" w:rsidRPr="00302898" w:rsidRDefault="00A110A5" w:rsidP="00A110A5">
            <w:pPr>
              <w:ind w:left="0" w:firstLine="0"/>
              <w:jc w:val="center"/>
              <w:cnfStyle w:val="100000000000" w:firstRow="1" w:lastRow="0" w:firstColumn="0" w:lastColumn="0" w:oddVBand="0" w:evenVBand="0" w:oddHBand="0" w:evenHBand="0" w:firstRowFirstColumn="0" w:firstRowLastColumn="0" w:lastRowFirstColumn="0" w:lastRowLastColumn="0"/>
              <w:rPr>
                <w:b w:val="0"/>
                <w:bCs w:val="0"/>
                <w:sz w:val="20"/>
                <w:szCs w:val="18"/>
              </w:rPr>
            </w:pPr>
            <w:r>
              <w:rPr>
                <w:b w:val="0"/>
                <w:bCs w:val="0"/>
                <w:sz w:val="20"/>
                <w:szCs w:val="18"/>
              </w:rPr>
              <w:t>2030</w:t>
            </w:r>
          </w:p>
        </w:tc>
      </w:tr>
      <w:tr w:rsidR="00335D18" w:rsidRPr="00302898" w14:paraId="29394FF8" w14:textId="77777777" w:rsidTr="008C2F3A">
        <w:tc>
          <w:tcPr>
            <w:cnfStyle w:val="001000000000" w:firstRow="0" w:lastRow="0" w:firstColumn="1" w:lastColumn="0" w:oddVBand="0" w:evenVBand="0" w:oddHBand="0" w:evenHBand="0" w:firstRowFirstColumn="0" w:firstRowLastColumn="0" w:lastRowFirstColumn="0" w:lastRowLastColumn="0"/>
            <w:tcW w:w="3750" w:type="dxa"/>
          </w:tcPr>
          <w:p w14:paraId="366FE6F6" w14:textId="77777777" w:rsidR="00335D18" w:rsidRPr="00E35FFE" w:rsidRDefault="00335D18" w:rsidP="00335D18">
            <w:pPr>
              <w:ind w:left="0" w:firstLine="0"/>
              <w:rPr>
                <w:b w:val="0"/>
                <w:bCs w:val="0"/>
                <w:sz w:val="20"/>
                <w:szCs w:val="18"/>
              </w:rPr>
            </w:pPr>
            <w:r w:rsidRPr="00E35FFE">
              <w:rPr>
                <w:b w:val="0"/>
                <w:bCs w:val="0"/>
                <w:sz w:val="20"/>
                <w:szCs w:val="18"/>
              </w:rPr>
              <w:t>Total Projected Costs, $</w:t>
            </w:r>
          </w:p>
        </w:tc>
        <w:tc>
          <w:tcPr>
            <w:tcW w:w="1052" w:type="dxa"/>
          </w:tcPr>
          <w:p w14:paraId="01D2959A" w14:textId="528BBF5F" w:rsidR="00335D18" w:rsidRPr="00302898" w:rsidRDefault="00335D18" w:rsidP="00335D18">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4,100</w:t>
            </w:r>
          </w:p>
        </w:tc>
        <w:tc>
          <w:tcPr>
            <w:tcW w:w="1052" w:type="dxa"/>
          </w:tcPr>
          <w:p w14:paraId="06C1EF51" w14:textId="56398C62" w:rsidR="00335D18" w:rsidRPr="00302898" w:rsidRDefault="00335D18" w:rsidP="00335D18">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6,262</w:t>
            </w:r>
          </w:p>
        </w:tc>
        <w:tc>
          <w:tcPr>
            <w:tcW w:w="1052" w:type="dxa"/>
          </w:tcPr>
          <w:p w14:paraId="5906BD02" w14:textId="78CB6284" w:rsidR="00335D18" w:rsidRPr="00302898" w:rsidRDefault="00335D18" w:rsidP="00335D18">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34,132</w:t>
            </w:r>
          </w:p>
        </w:tc>
        <w:tc>
          <w:tcPr>
            <w:tcW w:w="1052" w:type="dxa"/>
          </w:tcPr>
          <w:p w14:paraId="728DEA9A" w14:textId="2D8F56C5" w:rsidR="00335D18" w:rsidRPr="00302898" w:rsidRDefault="00335D18" w:rsidP="00335D18">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52,062</w:t>
            </w:r>
          </w:p>
        </w:tc>
        <w:tc>
          <w:tcPr>
            <w:tcW w:w="1052" w:type="dxa"/>
          </w:tcPr>
          <w:p w14:paraId="496E14A6" w14:textId="6F007DEF" w:rsidR="00335D18" w:rsidRPr="00302898" w:rsidRDefault="00335D18" w:rsidP="00335D18">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67,553</w:t>
            </w:r>
          </w:p>
        </w:tc>
        <w:tc>
          <w:tcPr>
            <w:tcW w:w="1053" w:type="dxa"/>
          </w:tcPr>
          <w:p w14:paraId="06D15F15" w14:textId="00EC26C6" w:rsidR="00335D18" w:rsidRPr="00302898" w:rsidRDefault="00335D18" w:rsidP="00335D18">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6,504</w:t>
            </w:r>
          </w:p>
        </w:tc>
      </w:tr>
      <w:tr w:rsidR="008C2F3A" w:rsidRPr="00302898" w14:paraId="206E0E29" w14:textId="77777777" w:rsidTr="008C2F3A">
        <w:tc>
          <w:tcPr>
            <w:cnfStyle w:val="001000000000" w:firstRow="0" w:lastRow="0" w:firstColumn="1" w:lastColumn="0" w:oddVBand="0" w:evenVBand="0" w:oddHBand="0" w:evenHBand="0" w:firstRowFirstColumn="0" w:firstRowLastColumn="0" w:lastRowFirstColumn="0" w:lastRowLastColumn="0"/>
            <w:tcW w:w="3750" w:type="dxa"/>
          </w:tcPr>
          <w:p w14:paraId="16BD9E6F" w14:textId="77777777" w:rsidR="008C2F3A" w:rsidRPr="00E35FFE" w:rsidRDefault="008C2F3A" w:rsidP="008C2F3A">
            <w:pPr>
              <w:ind w:left="0" w:firstLine="0"/>
              <w:rPr>
                <w:b w:val="0"/>
                <w:bCs w:val="0"/>
                <w:sz w:val="20"/>
                <w:szCs w:val="18"/>
              </w:rPr>
            </w:pPr>
            <w:r w:rsidRPr="00E35FFE">
              <w:rPr>
                <w:b w:val="0"/>
                <w:bCs w:val="0"/>
                <w:sz w:val="20"/>
                <w:szCs w:val="18"/>
              </w:rPr>
              <w:t>Total CD and MMA Reserve Funds, $</w:t>
            </w:r>
          </w:p>
        </w:tc>
        <w:tc>
          <w:tcPr>
            <w:tcW w:w="1052" w:type="dxa"/>
            <w:shd w:val="clear" w:color="auto" w:fill="auto"/>
            <w:vAlign w:val="bottom"/>
          </w:tcPr>
          <w:p w14:paraId="44992A8B" w14:textId="24E8A302" w:rsidR="008C2F3A" w:rsidRPr="00302898" w:rsidRDefault="00335D18" w:rsidP="00F82D9E">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19,761</w:t>
            </w:r>
          </w:p>
        </w:tc>
        <w:tc>
          <w:tcPr>
            <w:tcW w:w="1052" w:type="dxa"/>
            <w:shd w:val="clear" w:color="auto" w:fill="auto"/>
            <w:vAlign w:val="bottom"/>
          </w:tcPr>
          <w:p w14:paraId="4301FB6D" w14:textId="29650E54" w:rsidR="008C2F3A" w:rsidRPr="00302898" w:rsidRDefault="00F342A3" w:rsidP="00F82D9E">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45,661</w:t>
            </w:r>
          </w:p>
        </w:tc>
        <w:tc>
          <w:tcPr>
            <w:tcW w:w="1052" w:type="dxa"/>
            <w:shd w:val="clear" w:color="auto" w:fill="auto"/>
            <w:vAlign w:val="bottom"/>
          </w:tcPr>
          <w:p w14:paraId="3E1751C6" w14:textId="3FBE668C" w:rsidR="008C2F3A" w:rsidRPr="00302898" w:rsidRDefault="00F342A3" w:rsidP="00F82D9E">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61,007</w:t>
            </w:r>
          </w:p>
        </w:tc>
        <w:tc>
          <w:tcPr>
            <w:tcW w:w="1052" w:type="dxa"/>
            <w:shd w:val="clear" w:color="auto" w:fill="auto"/>
            <w:vAlign w:val="bottom"/>
          </w:tcPr>
          <w:p w14:paraId="1FA8F638" w14:textId="50B3E640" w:rsidR="008C2F3A" w:rsidRPr="00302898" w:rsidRDefault="00F342A3" w:rsidP="00F82D9E">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56,220</w:t>
            </w:r>
          </w:p>
        </w:tc>
        <w:tc>
          <w:tcPr>
            <w:tcW w:w="1052" w:type="dxa"/>
            <w:shd w:val="clear" w:color="auto" w:fill="auto"/>
            <w:vAlign w:val="bottom"/>
          </w:tcPr>
          <w:p w14:paraId="2FFA7B4A" w14:textId="7B3D758D" w:rsidR="008C2F3A" w:rsidRPr="00302898" w:rsidRDefault="00F342A3" w:rsidP="00F82D9E">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32,927</w:t>
            </w:r>
          </w:p>
        </w:tc>
        <w:tc>
          <w:tcPr>
            <w:tcW w:w="1053" w:type="dxa"/>
            <w:shd w:val="clear" w:color="auto" w:fill="auto"/>
            <w:vAlign w:val="bottom"/>
          </w:tcPr>
          <w:p w14:paraId="4FA5A314" w14:textId="38BB8B41" w:rsidR="008C2F3A" w:rsidRPr="00302898" w:rsidRDefault="009E72D8" w:rsidP="00F82D9E">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1,857</w:t>
            </w:r>
          </w:p>
        </w:tc>
      </w:tr>
      <w:tr w:rsidR="008C2F3A" w:rsidRPr="00302898" w14:paraId="15CD56AA" w14:textId="77777777" w:rsidTr="008C2F3A">
        <w:tc>
          <w:tcPr>
            <w:cnfStyle w:val="001000000000" w:firstRow="0" w:lastRow="0" w:firstColumn="1" w:lastColumn="0" w:oddVBand="0" w:evenVBand="0" w:oddHBand="0" w:evenHBand="0" w:firstRowFirstColumn="0" w:firstRowLastColumn="0" w:lastRowFirstColumn="0" w:lastRowLastColumn="0"/>
            <w:tcW w:w="3750" w:type="dxa"/>
          </w:tcPr>
          <w:p w14:paraId="3921F0D8" w14:textId="77777777" w:rsidR="008C2F3A" w:rsidRPr="00E35FFE" w:rsidRDefault="008C2F3A" w:rsidP="008C2F3A">
            <w:pPr>
              <w:ind w:left="0" w:firstLine="0"/>
              <w:rPr>
                <w:b w:val="0"/>
                <w:bCs w:val="0"/>
                <w:sz w:val="20"/>
                <w:szCs w:val="18"/>
              </w:rPr>
            </w:pPr>
            <w:r w:rsidRPr="00E35FFE">
              <w:rPr>
                <w:b w:val="0"/>
                <w:bCs w:val="0"/>
                <w:sz w:val="20"/>
                <w:szCs w:val="18"/>
              </w:rPr>
              <w:t>Additions – Dues &amp; Oper. Surplus, $</w:t>
            </w:r>
          </w:p>
        </w:tc>
        <w:tc>
          <w:tcPr>
            <w:tcW w:w="1052" w:type="dxa"/>
          </w:tcPr>
          <w:p w14:paraId="48536714" w14:textId="6D701221" w:rsidR="008C2F3A" w:rsidRPr="00302898" w:rsidRDefault="009E72D8" w:rsidP="00F82D9E">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30,000</w:t>
            </w:r>
          </w:p>
        </w:tc>
        <w:tc>
          <w:tcPr>
            <w:tcW w:w="1052" w:type="dxa"/>
          </w:tcPr>
          <w:p w14:paraId="42A65497" w14:textId="2A3B23FF" w:rsidR="008C2F3A" w:rsidRPr="00302898" w:rsidRDefault="009E72D8" w:rsidP="00F82D9E">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21,608</w:t>
            </w:r>
          </w:p>
        </w:tc>
        <w:tc>
          <w:tcPr>
            <w:tcW w:w="1052" w:type="dxa"/>
          </w:tcPr>
          <w:p w14:paraId="0207F508" w14:textId="6FE337B9" w:rsidR="008C2F3A" w:rsidRPr="00302898" w:rsidRDefault="009E72D8" w:rsidP="00F82D9E">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29,344</w:t>
            </w:r>
          </w:p>
        </w:tc>
        <w:tc>
          <w:tcPr>
            <w:tcW w:w="1052" w:type="dxa"/>
          </w:tcPr>
          <w:p w14:paraId="064FF506" w14:textId="7E92433A" w:rsidR="008C2F3A" w:rsidRPr="00302898" w:rsidRDefault="009E72D8" w:rsidP="00F82D9E">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28,769</w:t>
            </w:r>
          </w:p>
        </w:tc>
        <w:tc>
          <w:tcPr>
            <w:tcW w:w="1052" w:type="dxa"/>
          </w:tcPr>
          <w:p w14:paraId="447794BD" w14:textId="4F7A487B" w:rsidR="008C2F3A" w:rsidRPr="00302898" w:rsidRDefault="009E72D8" w:rsidP="00F82D9E">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36,483</w:t>
            </w:r>
          </w:p>
        </w:tc>
        <w:tc>
          <w:tcPr>
            <w:tcW w:w="1053" w:type="dxa"/>
          </w:tcPr>
          <w:p w14:paraId="3AD8449F" w14:textId="2C673878" w:rsidR="008C2F3A" w:rsidRPr="00302898" w:rsidRDefault="00C3334D" w:rsidP="00F82D9E">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35,884</w:t>
            </w:r>
          </w:p>
        </w:tc>
      </w:tr>
      <w:tr w:rsidR="008C2F3A" w:rsidRPr="00302898" w14:paraId="737946D0" w14:textId="77777777" w:rsidTr="008C2F3A">
        <w:tc>
          <w:tcPr>
            <w:cnfStyle w:val="001000000000" w:firstRow="0" w:lastRow="0" w:firstColumn="1" w:lastColumn="0" w:oddVBand="0" w:evenVBand="0" w:oddHBand="0" w:evenHBand="0" w:firstRowFirstColumn="0" w:firstRowLastColumn="0" w:lastRowFirstColumn="0" w:lastRowLastColumn="0"/>
            <w:tcW w:w="3750" w:type="dxa"/>
          </w:tcPr>
          <w:p w14:paraId="01827581" w14:textId="77777777" w:rsidR="008C2F3A" w:rsidRPr="00302898" w:rsidRDefault="008C2F3A" w:rsidP="008C2F3A">
            <w:pPr>
              <w:ind w:left="0" w:firstLine="0"/>
              <w:jc w:val="right"/>
              <w:rPr>
                <w:b w:val="0"/>
                <w:bCs w:val="0"/>
                <w:sz w:val="20"/>
                <w:szCs w:val="18"/>
              </w:rPr>
            </w:pPr>
            <w:r w:rsidRPr="00302898">
              <w:rPr>
                <w:b w:val="0"/>
                <w:bCs w:val="0"/>
                <w:sz w:val="20"/>
                <w:szCs w:val="18"/>
              </w:rPr>
              <w:t>Total Reserves at Year End, $</w:t>
            </w:r>
          </w:p>
        </w:tc>
        <w:tc>
          <w:tcPr>
            <w:tcW w:w="1052" w:type="dxa"/>
          </w:tcPr>
          <w:p w14:paraId="7D50F037" w14:textId="66A5CF74" w:rsidR="008C2F3A" w:rsidRPr="00302898" w:rsidRDefault="00C3334D" w:rsidP="00F82D9E">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45,661</w:t>
            </w:r>
          </w:p>
        </w:tc>
        <w:tc>
          <w:tcPr>
            <w:tcW w:w="1052" w:type="dxa"/>
          </w:tcPr>
          <w:p w14:paraId="251C6A37" w14:textId="16F90394" w:rsidR="008C2F3A" w:rsidRPr="00302898" w:rsidRDefault="00C3334D" w:rsidP="00F82D9E">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61,007</w:t>
            </w:r>
          </w:p>
        </w:tc>
        <w:tc>
          <w:tcPr>
            <w:tcW w:w="1052" w:type="dxa"/>
          </w:tcPr>
          <w:p w14:paraId="4E2379C0" w14:textId="59D3567B" w:rsidR="008C2F3A" w:rsidRPr="00302898" w:rsidRDefault="00C3334D" w:rsidP="00F82D9E">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56,220</w:t>
            </w:r>
          </w:p>
        </w:tc>
        <w:tc>
          <w:tcPr>
            <w:tcW w:w="1052" w:type="dxa"/>
          </w:tcPr>
          <w:p w14:paraId="42029650" w14:textId="6B87C405" w:rsidR="008C2F3A" w:rsidRPr="00302898" w:rsidRDefault="00C3334D" w:rsidP="00F82D9E">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32,927</w:t>
            </w:r>
          </w:p>
        </w:tc>
        <w:tc>
          <w:tcPr>
            <w:tcW w:w="1052" w:type="dxa"/>
          </w:tcPr>
          <w:p w14:paraId="784D538D" w14:textId="3BA9F994" w:rsidR="008C2F3A" w:rsidRPr="00302898" w:rsidRDefault="00C3334D" w:rsidP="00F82D9E">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1,857</w:t>
            </w:r>
          </w:p>
        </w:tc>
        <w:tc>
          <w:tcPr>
            <w:tcW w:w="1053" w:type="dxa"/>
          </w:tcPr>
          <w:p w14:paraId="0FC0D35D" w14:textId="005006E7" w:rsidR="00BE1A59" w:rsidRPr="00302898" w:rsidRDefault="00DC6AB6" w:rsidP="00BE1A59">
            <w:pPr>
              <w:ind w:left="0" w:firstLine="0"/>
              <w:jc w:val="right"/>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31,238</w:t>
            </w:r>
          </w:p>
        </w:tc>
      </w:tr>
    </w:tbl>
    <w:p w14:paraId="6F4BA1AB" w14:textId="77777777" w:rsidR="00E06D97" w:rsidRDefault="00E06D97" w:rsidP="00B875A0"/>
    <w:p w14:paraId="31C36492" w14:textId="77777777" w:rsidR="00CB495E" w:rsidRDefault="00CB495E">
      <w:pPr>
        <w:spacing w:after="0" w:line="259" w:lineRule="auto"/>
        <w:ind w:left="720" w:firstLine="0"/>
      </w:pPr>
    </w:p>
    <w:p w14:paraId="7B8ACA70" w14:textId="17DEBEF6" w:rsidR="006520CC" w:rsidRDefault="00CD5E3C" w:rsidP="00AC4F08">
      <w:pPr>
        <w:spacing w:after="157"/>
        <w:ind w:left="0" w:firstLine="0"/>
        <w:jc w:val="both"/>
      </w:pPr>
      <w:r>
        <w:t xml:space="preserve">With respect to major roadwork, the condition of the roads will be tracked on an ongoing basis. With diligence, there would be several years to adjust the dues rate to avoid or reduce any special assessment required. </w:t>
      </w:r>
    </w:p>
    <w:p w14:paraId="61E5BC76" w14:textId="6545B8C1" w:rsidR="000C60C6" w:rsidRDefault="00CD5E3C" w:rsidP="00A45B94">
      <w:pPr>
        <w:spacing w:after="0" w:line="259" w:lineRule="auto"/>
        <w:ind w:left="0" w:firstLine="0"/>
      </w:pPr>
      <w:r>
        <w:t xml:space="preserve"> </w:t>
      </w:r>
    </w:p>
    <w:p w14:paraId="3218BC5D" w14:textId="4685E76B" w:rsidR="000C60C6" w:rsidRDefault="000C60C6" w:rsidP="000C60C6">
      <w:pPr>
        <w:spacing w:after="157"/>
        <w:ind w:left="0" w:firstLine="0"/>
        <w:jc w:val="both"/>
      </w:pPr>
      <w:r>
        <w:t>As required by state regulation RCW 64.</w:t>
      </w:r>
      <w:r w:rsidR="001E1C57">
        <w:t>90</w:t>
      </w:r>
      <w:r>
        <w:t>.</w:t>
      </w:r>
      <w:r w:rsidR="001E1C57">
        <w:t>550</w:t>
      </w:r>
      <w:r>
        <w:t xml:space="preserve">, the following required disclosure is made: </w:t>
      </w:r>
    </w:p>
    <w:p w14:paraId="79FF0F7A" w14:textId="435A42BC" w:rsidR="000C60C6" w:rsidRPr="000C60C6" w:rsidRDefault="000C60C6" w:rsidP="000C60C6">
      <w:pPr>
        <w:spacing w:after="157"/>
        <w:ind w:left="720" w:firstLine="0"/>
        <w:jc w:val="both"/>
        <w:rPr>
          <w:sz w:val="20"/>
          <w:szCs w:val="18"/>
        </w:rPr>
      </w:pPr>
      <w:r w:rsidRPr="000C60C6">
        <w:rPr>
          <w:rFonts w:ascii="Helvetica" w:hAnsi="Helvetica" w:cs="Helvetica"/>
          <w:sz w:val="20"/>
          <w:szCs w:val="18"/>
          <w:shd w:val="clear" w:color="auto" w:fill="FFFFFF"/>
        </w:rPr>
        <w:t>"</w:t>
      </w:r>
      <w:r w:rsidR="001E1C57" w:rsidRPr="001E1C57">
        <w:t xml:space="preserve"> </w:t>
      </w:r>
      <w:r w:rsidRPr="000C60C6">
        <w:rPr>
          <w:rFonts w:ascii="Helvetica" w:hAnsi="Helvetica" w:cs="Helvetica"/>
          <w:sz w:val="20"/>
          <w:szCs w:val="18"/>
          <w:shd w:val="clear" w:color="auto" w:fill="FFFFFF"/>
        </w:rPr>
        <w:t xml:space="preserve">This reserve study should be reviewed carefully. It may not include all common and limited common element components that will require major maintenance, repair, or replacement in future years, and may not include regular contributions to a reserve account for the cost of such maintenance, repair, or replacement. </w:t>
      </w:r>
      <w:r w:rsidR="001E1C57" w:rsidRPr="001E1C57">
        <w:rPr>
          <w:rFonts w:ascii="Helvetica" w:hAnsi="Helvetica" w:cs="Helvetica"/>
          <w:sz w:val="20"/>
          <w:szCs w:val="18"/>
          <w:shd w:val="clear" w:color="auto" w:fill="FFFFFF"/>
        </w:rPr>
        <w:t>The failure to include a component in a reserve study, or to provide contributions to a reserve account for a component, may, under some circumstances, require the association to (1) defer major maintenance, repair, or replacement, (2) increase future reserve contributions, (3) borrow funds to pay for major maintenance, repair, or replacement, or (4) impose special assessments for the cost of major maintenance, repair, or replacement.</w:t>
      </w:r>
      <w:r w:rsidRPr="000C60C6">
        <w:rPr>
          <w:rFonts w:ascii="Helvetica" w:hAnsi="Helvetica" w:cs="Helvetica"/>
          <w:sz w:val="20"/>
          <w:szCs w:val="18"/>
          <w:shd w:val="clear" w:color="auto" w:fill="FFFFFF"/>
        </w:rPr>
        <w:t>"</w:t>
      </w:r>
    </w:p>
    <w:p w14:paraId="6CF5F083" w14:textId="77777777" w:rsidR="000C60C6" w:rsidRDefault="000C60C6">
      <w:pPr>
        <w:spacing w:after="0" w:line="259" w:lineRule="auto"/>
        <w:ind w:left="0" w:firstLine="0"/>
      </w:pPr>
    </w:p>
    <w:sectPr w:rsidR="000C60C6">
      <w:headerReference w:type="even" r:id="rId10"/>
      <w:headerReference w:type="default" r:id="rId11"/>
      <w:footerReference w:type="even" r:id="rId12"/>
      <w:footerReference w:type="default" r:id="rId13"/>
      <w:headerReference w:type="first" r:id="rId14"/>
      <w:footerReference w:type="first" r:id="rId15"/>
      <w:pgSz w:w="12240" w:h="15840"/>
      <w:pgMar w:top="728" w:right="1087" w:bottom="994" w:left="1080" w:header="720" w:footer="7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0C3F6" w14:textId="77777777" w:rsidR="0097633C" w:rsidRDefault="0097633C">
      <w:pPr>
        <w:spacing w:after="0" w:line="240" w:lineRule="auto"/>
      </w:pPr>
      <w:r>
        <w:separator/>
      </w:r>
    </w:p>
  </w:endnote>
  <w:endnote w:type="continuationSeparator" w:id="0">
    <w:p w14:paraId="19D2FA8E" w14:textId="77777777" w:rsidR="0097633C" w:rsidRDefault="0097633C">
      <w:pPr>
        <w:spacing w:after="0" w:line="240" w:lineRule="auto"/>
      </w:pPr>
      <w:r>
        <w:continuationSeparator/>
      </w:r>
    </w:p>
  </w:endnote>
  <w:endnote w:type="continuationNotice" w:id="1">
    <w:p w14:paraId="1068F5EB" w14:textId="77777777" w:rsidR="0097633C" w:rsidRDefault="009763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78BD7" w14:textId="77777777" w:rsidR="006520CC" w:rsidRDefault="00CD5E3C">
    <w:pPr>
      <w:spacing w:after="39"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23E5F77" wp14:editId="1DE13212">
              <wp:simplePos x="0" y="0"/>
              <wp:positionH relativeFrom="page">
                <wp:posOffset>667512</wp:posOffset>
              </wp:positionH>
              <wp:positionV relativeFrom="page">
                <wp:posOffset>9291524</wp:posOffset>
              </wp:positionV>
              <wp:extent cx="6438647" cy="6096"/>
              <wp:effectExtent l="0" t="0" r="0" b="0"/>
              <wp:wrapSquare wrapText="bothSides"/>
              <wp:docPr id="11579" name="Group 11579"/>
              <wp:cNvGraphicFramePr/>
              <a:graphic xmlns:a="http://schemas.openxmlformats.org/drawingml/2006/main">
                <a:graphicData uri="http://schemas.microsoft.com/office/word/2010/wordprocessingGroup">
                  <wpg:wgp>
                    <wpg:cNvGrpSpPr/>
                    <wpg:grpSpPr>
                      <a:xfrm>
                        <a:off x="0" y="0"/>
                        <a:ext cx="6438647" cy="6096"/>
                        <a:chOff x="0" y="0"/>
                        <a:chExt cx="6438647" cy="6096"/>
                      </a:xfrm>
                    </wpg:grpSpPr>
                    <wps:wsp>
                      <wps:cNvPr id="12015" name="Shape 12015"/>
                      <wps:cNvSpPr/>
                      <wps:spPr>
                        <a:xfrm>
                          <a:off x="0" y="0"/>
                          <a:ext cx="6438647" cy="9144"/>
                        </a:xfrm>
                        <a:custGeom>
                          <a:avLst/>
                          <a:gdLst/>
                          <a:ahLst/>
                          <a:cxnLst/>
                          <a:rect l="0" t="0" r="0" b="0"/>
                          <a:pathLst>
                            <a:path w="6438647" h="9144">
                              <a:moveTo>
                                <a:pt x="0" y="0"/>
                              </a:moveTo>
                              <a:lnTo>
                                <a:pt x="6438647" y="0"/>
                              </a:lnTo>
                              <a:lnTo>
                                <a:pt x="643864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BDD85AC" id="Group 11579" o:spid="_x0000_s1026" style="position:absolute;margin-left:52.55pt;margin-top:731.6pt;width:507pt;height:.5pt;z-index:251658240;mso-position-horizontal-relative:page;mso-position-vertical-relative:page" coordsize="643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">
              <v:shape id="Shape 12015" o:spid="_x0000_s1027" style="position:absolute;width:64386;height:91;visibility:visible;mso-wrap-style:square;v-text-anchor:top" coordsize="64386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" path="m,l6438647,r,9144l,9144,,e" fillcolor="#d9d9d9" stroked="f" strokeweight="0">
                <v:stroke miterlimit="83231f" joinstyle="miter"/>
                <v:path arrowok="t" textboxrect="0,0,6438647,9144"/>
              </v:shape>
              <w10:wrap type="square" anchorx="page" anchory="page"/>
            </v:group>
          </w:pict>
        </mc:Fallback>
      </mc:AlternateContent>
    </w:r>
    <w:r>
      <w:fldChar w:fldCharType="begin"/>
    </w:r>
    <w:r>
      <w:instrText xml:space="preserve"> PAGE   \* MERGEFORMAT </w:instrText>
    </w:r>
    <w:r>
      <w:fldChar w:fldCharType="separate"/>
    </w:r>
    <w:r>
      <w:rPr>
        <w:b/>
        <w:sz w:val="16"/>
      </w:rPr>
      <w:t>2</w:t>
    </w:r>
    <w:r>
      <w:rPr>
        <w:b/>
        <w:sz w:val="16"/>
      </w:rPr>
      <w:fldChar w:fldCharType="end"/>
    </w:r>
    <w:r>
      <w:rPr>
        <w:b/>
        <w:sz w:val="16"/>
      </w:rPr>
      <w:t xml:space="preserve"> | </w:t>
    </w:r>
    <w:r>
      <w:rPr>
        <w:color w:val="7F7F7F"/>
        <w:sz w:val="16"/>
      </w:rPr>
      <w:t>P a g e</w:t>
    </w:r>
    <w:r>
      <w:rPr>
        <w:b/>
        <w:sz w:val="18"/>
      </w:rPr>
      <w:t xml:space="preserve"> </w:t>
    </w:r>
  </w:p>
  <w:p w14:paraId="181CB73C" w14:textId="77777777" w:rsidR="006520CC" w:rsidRDefault="00CD5E3C">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00BB8" w14:textId="528F5D30" w:rsidR="006520CC" w:rsidRDefault="006520CC">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E2929" w14:textId="67D10371" w:rsidR="006520CC" w:rsidRDefault="006520CC">
    <w:pPr>
      <w:spacing w:after="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D948F" w14:textId="77777777" w:rsidR="0097633C" w:rsidRDefault="0097633C">
      <w:pPr>
        <w:spacing w:after="0" w:line="240" w:lineRule="auto"/>
      </w:pPr>
      <w:r>
        <w:separator/>
      </w:r>
    </w:p>
  </w:footnote>
  <w:footnote w:type="continuationSeparator" w:id="0">
    <w:p w14:paraId="5E1EA51D" w14:textId="77777777" w:rsidR="0097633C" w:rsidRDefault="0097633C">
      <w:pPr>
        <w:spacing w:after="0" w:line="240" w:lineRule="auto"/>
      </w:pPr>
      <w:r>
        <w:continuationSeparator/>
      </w:r>
    </w:p>
  </w:footnote>
  <w:footnote w:type="continuationNotice" w:id="1">
    <w:p w14:paraId="1E2E30FB" w14:textId="77777777" w:rsidR="0097633C" w:rsidRDefault="009763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58DBB" w14:textId="77777777" w:rsidR="006520CC" w:rsidRDefault="00CD5E3C">
    <w:pPr>
      <w:spacing w:after="0" w:line="259" w:lineRule="auto"/>
      <w:ind w:left="3" w:firstLine="0"/>
      <w:jc w:val="center"/>
    </w:pPr>
    <w:r>
      <w:rPr>
        <w:b/>
      </w:rPr>
      <w:t xml:space="preserve">PRR HOA Reserve Fund Study 2019 Annual Report  </w:t>
    </w:r>
  </w:p>
  <w:p w14:paraId="33AB28A9" w14:textId="77777777" w:rsidR="006520CC" w:rsidRDefault="00CD5E3C">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A3C58" w14:textId="60F6E715" w:rsidR="006520CC" w:rsidRDefault="006520CC">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D18F9" w14:textId="77777777" w:rsidR="006520CC" w:rsidRDefault="006520CC">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E4A26"/>
    <w:multiLevelType w:val="hybridMultilevel"/>
    <w:tmpl w:val="BAF263BA"/>
    <w:lvl w:ilvl="0" w:tplc="165AC51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8C9EC6">
      <w:start w:val="1"/>
      <w:numFmt w:val="lowerLetter"/>
      <w:lvlText w:val="%2."/>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94A36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F830F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6E1C6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0C1D7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106DB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E112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28CDB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63E5007"/>
    <w:multiLevelType w:val="hybridMultilevel"/>
    <w:tmpl w:val="A03EEC24"/>
    <w:lvl w:ilvl="0" w:tplc="2CAC4638">
      <w:start w:val="6"/>
      <w:numFmt w:val="lowerLetter"/>
      <w:lvlText w:val="%1."/>
      <w:lvlJc w:val="left"/>
      <w:pPr>
        <w:ind w:left="1065" w:firstLine="0"/>
      </w:pPr>
      <w:rPr>
        <w:rFonts w:ascii="Arial" w:eastAsia="Arial" w:hAnsi="Arial" w:cs="Arial"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3207C4"/>
    <w:multiLevelType w:val="hybridMultilevel"/>
    <w:tmpl w:val="3CE23678"/>
    <w:lvl w:ilvl="0" w:tplc="05BC733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50BFA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12382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20CB3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0E85D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121B8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E6031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5C986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10F97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4B47A26"/>
    <w:multiLevelType w:val="hybridMultilevel"/>
    <w:tmpl w:val="B9568714"/>
    <w:lvl w:ilvl="0" w:tplc="9B6CF85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44C2E6">
      <w:start w:val="1"/>
      <w:numFmt w:val="lowerLetter"/>
      <w:lvlText w:val="%2."/>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E26B3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1450D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A849E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9ACC4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BA9E8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E6B66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1C015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5312F4C"/>
    <w:multiLevelType w:val="hybridMultilevel"/>
    <w:tmpl w:val="7EA2AEEA"/>
    <w:lvl w:ilvl="0" w:tplc="C9E4C46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9290A4">
      <w:start w:val="1"/>
      <w:numFmt w:val="lowerLetter"/>
      <w:lvlText w:val="%2."/>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5AAE5A">
      <w:start w:val="1"/>
      <w:numFmt w:val="lowerRoman"/>
      <w:lvlText w:val="%3."/>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8C2C42">
      <w:start w:val="1"/>
      <w:numFmt w:val="decimal"/>
      <w:lvlText w:val="%4"/>
      <w:lvlJc w:val="left"/>
      <w:pPr>
        <w:ind w:left="2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9E2378">
      <w:start w:val="1"/>
      <w:numFmt w:val="lowerLetter"/>
      <w:lvlText w:val="%5"/>
      <w:lvlJc w:val="left"/>
      <w:pPr>
        <w:ind w:left="36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A0C8D6">
      <w:start w:val="1"/>
      <w:numFmt w:val="lowerRoman"/>
      <w:lvlText w:val="%6"/>
      <w:lvlJc w:val="left"/>
      <w:pPr>
        <w:ind w:left="43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0CB5EC">
      <w:start w:val="1"/>
      <w:numFmt w:val="decimal"/>
      <w:lvlText w:val="%7"/>
      <w:lvlJc w:val="left"/>
      <w:pPr>
        <w:ind w:left="5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9210EA">
      <w:start w:val="1"/>
      <w:numFmt w:val="lowerLetter"/>
      <w:lvlText w:val="%8"/>
      <w:lvlJc w:val="left"/>
      <w:pPr>
        <w:ind w:left="5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C83FD8">
      <w:start w:val="1"/>
      <w:numFmt w:val="lowerRoman"/>
      <w:lvlText w:val="%9"/>
      <w:lvlJc w:val="left"/>
      <w:pPr>
        <w:ind w:left="64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990940838">
    <w:abstractNumId w:val="2"/>
  </w:num>
  <w:num w:numId="2" w16cid:durableId="66847082">
    <w:abstractNumId w:val="0"/>
  </w:num>
  <w:num w:numId="3" w16cid:durableId="1531718017">
    <w:abstractNumId w:val="3"/>
  </w:num>
  <w:num w:numId="4" w16cid:durableId="994995929">
    <w:abstractNumId w:val="4"/>
  </w:num>
  <w:num w:numId="5" w16cid:durableId="1702314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CC"/>
    <w:rsid w:val="00014897"/>
    <w:rsid w:val="00020A9B"/>
    <w:rsid w:val="00031B1C"/>
    <w:rsid w:val="0003371C"/>
    <w:rsid w:val="00061329"/>
    <w:rsid w:val="00062030"/>
    <w:rsid w:val="0007407F"/>
    <w:rsid w:val="00092DD4"/>
    <w:rsid w:val="000A024A"/>
    <w:rsid w:val="000B7DAF"/>
    <w:rsid w:val="000C60C6"/>
    <w:rsid w:val="000D0713"/>
    <w:rsid w:val="000D622F"/>
    <w:rsid w:val="000E2C3A"/>
    <w:rsid w:val="000E6BB1"/>
    <w:rsid w:val="000F1467"/>
    <w:rsid w:val="000F5A9D"/>
    <w:rsid w:val="000F6514"/>
    <w:rsid w:val="001065B9"/>
    <w:rsid w:val="0011753E"/>
    <w:rsid w:val="00124D06"/>
    <w:rsid w:val="00133B0F"/>
    <w:rsid w:val="0013484A"/>
    <w:rsid w:val="00153A47"/>
    <w:rsid w:val="00155045"/>
    <w:rsid w:val="00171633"/>
    <w:rsid w:val="00177AE0"/>
    <w:rsid w:val="00184C24"/>
    <w:rsid w:val="001933D6"/>
    <w:rsid w:val="00195683"/>
    <w:rsid w:val="001A1C3C"/>
    <w:rsid w:val="001B4716"/>
    <w:rsid w:val="001D037A"/>
    <w:rsid w:val="001D56B7"/>
    <w:rsid w:val="001D6221"/>
    <w:rsid w:val="001E1C57"/>
    <w:rsid w:val="001E2B35"/>
    <w:rsid w:val="001E7239"/>
    <w:rsid w:val="001F1B3B"/>
    <w:rsid w:val="00200AA6"/>
    <w:rsid w:val="00216AD6"/>
    <w:rsid w:val="00226696"/>
    <w:rsid w:val="00227D75"/>
    <w:rsid w:val="002409A3"/>
    <w:rsid w:val="00240EA6"/>
    <w:rsid w:val="002451B0"/>
    <w:rsid w:val="0025182F"/>
    <w:rsid w:val="002675A1"/>
    <w:rsid w:val="00272299"/>
    <w:rsid w:val="00284948"/>
    <w:rsid w:val="002B4992"/>
    <w:rsid w:val="002E0B84"/>
    <w:rsid w:val="00302898"/>
    <w:rsid w:val="00304F15"/>
    <w:rsid w:val="00305C58"/>
    <w:rsid w:val="00310E18"/>
    <w:rsid w:val="00315C7A"/>
    <w:rsid w:val="0031605E"/>
    <w:rsid w:val="00335D18"/>
    <w:rsid w:val="00354AA9"/>
    <w:rsid w:val="00360769"/>
    <w:rsid w:val="003724D9"/>
    <w:rsid w:val="003810A2"/>
    <w:rsid w:val="00382974"/>
    <w:rsid w:val="003842B4"/>
    <w:rsid w:val="00385752"/>
    <w:rsid w:val="0039370B"/>
    <w:rsid w:val="003C3A6A"/>
    <w:rsid w:val="003C551E"/>
    <w:rsid w:val="0040241D"/>
    <w:rsid w:val="00411436"/>
    <w:rsid w:val="00443B0D"/>
    <w:rsid w:val="00450663"/>
    <w:rsid w:val="00450936"/>
    <w:rsid w:val="00461648"/>
    <w:rsid w:val="00464F7D"/>
    <w:rsid w:val="0048644A"/>
    <w:rsid w:val="00486B68"/>
    <w:rsid w:val="004956E3"/>
    <w:rsid w:val="00496C35"/>
    <w:rsid w:val="004A224E"/>
    <w:rsid w:val="004B026D"/>
    <w:rsid w:val="004B08E2"/>
    <w:rsid w:val="004B10B0"/>
    <w:rsid w:val="004B3051"/>
    <w:rsid w:val="004C3730"/>
    <w:rsid w:val="004C7AE1"/>
    <w:rsid w:val="004D0F80"/>
    <w:rsid w:val="004D57BC"/>
    <w:rsid w:val="004E73E3"/>
    <w:rsid w:val="004F2F10"/>
    <w:rsid w:val="004F44CC"/>
    <w:rsid w:val="004F6416"/>
    <w:rsid w:val="0050067C"/>
    <w:rsid w:val="00505CC1"/>
    <w:rsid w:val="00532C19"/>
    <w:rsid w:val="00537396"/>
    <w:rsid w:val="00542C0D"/>
    <w:rsid w:val="00561A06"/>
    <w:rsid w:val="00572FF3"/>
    <w:rsid w:val="005762E2"/>
    <w:rsid w:val="00582B49"/>
    <w:rsid w:val="00585249"/>
    <w:rsid w:val="00596837"/>
    <w:rsid w:val="005B4882"/>
    <w:rsid w:val="005D320A"/>
    <w:rsid w:val="005F6C45"/>
    <w:rsid w:val="006173C1"/>
    <w:rsid w:val="006214CF"/>
    <w:rsid w:val="0064238F"/>
    <w:rsid w:val="006472C2"/>
    <w:rsid w:val="006520CC"/>
    <w:rsid w:val="00684CD0"/>
    <w:rsid w:val="00686ED2"/>
    <w:rsid w:val="00693535"/>
    <w:rsid w:val="006A4A42"/>
    <w:rsid w:val="006B7EA7"/>
    <w:rsid w:val="006D090D"/>
    <w:rsid w:val="006D0F2A"/>
    <w:rsid w:val="006E0E5A"/>
    <w:rsid w:val="006F1877"/>
    <w:rsid w:val="00704B07"/>
    <w:rsid w:val="0071314B"/>
    <w:rsid w:val="00714101"/>
    <w:rsid w:val="00717649"/>
    <w:rsid w:val="007210EB"/>
    <w:rsid w:val="0072596E"/>
    <w:rsid w:val="00737669"/>
    <w:rsid w:val="00742BA3"/>
    <w:rsid w:val="00744C58"/>
    <w:rsid w:val="00750FB2"/>
    <w:rsid w:val="007525A8"/>
    <w:rsid w:val="00762D9F"/>
    <w:rsid w:val="0078443F"/>
    <w:rsid w:val="007A1CBD"/>
    <w:rsid w:val="007A24D1"/>
    <w:rsid w:val="007B5154"/>
    <w:rsid w:val="007C4249"/>
    <w:rsid w:val="007D6AF8"/>
    <w:rsid w:val="007F7185"/>
    <w:rsid w:val="00801AE6"/>
    <w:rsid w:val="00803D06"/>
    <w:rsid w:val="00804207"/>
    <w:rsid w:val="008042A7"/>
    <w:rsid w:val="00813B3C"/>
    <w:rsid w:val="00822C32"/>
    <w:rsid w:val="00827893"/>
    <w:rsid w:val="00844F38"/>
    <w:rsid w:val="00847D37"/>
    <w:rsid w:val="008617D5"/>
    <w:rsid w:val="00873137"/>
    <w:rsid w:val="00886965"/>
    <w:rsid w:val="00895F4B"/>
    <w:rsid w:val="008A6515"/>
    <w:rsid w:val="008B586E"/>
    <w:rsid w:val="008C2F3A"/>
    <w:rsid w:val="008D50AF"/>
    <w:rsid w:val="008D71EF"/>
    <w:rsid w:val="008E3A83"/>
    <w:rsid w:val="009107AF"/>
    <w:rsid w:val="009316E5"/>
    <w:rsid w:val="00947C10"/>
    <w:rsid w:val="009523ED"/>
    <w:rsid w:val="009528F3"/>
    <w:rsid w:val="00970F33"/>
    <w:rsid w:val="0097633C"/>
    <w:rsid w:val="009827CA"/>
    <w:rsid w:val="00983E70"/>
    <w:rsid w:val="00984EE7"/>
    <w:rsid w:val="009A23D8"/>
    <w:rsid w:val="009A26C2"/>
    <w:rsid w:val="009B4A89"/>
    <w:rsid w:val="009C0D60"/>
    <w:rsid w:val="009D0841"/>
    <w:rsid w:val="009D5633"/>
    <w:rsid w:val="009D663C"/>
    <w:rsid w:val="009E72D8"/>
    <w:rsid w:val="009F2600"/>
    <w:rsid w:val="00A110A5"/>
    <w:rsid w:val="00A13E1C"/>
    <w:rsid w:val="00A27218"/>
    <w:rsid w:val="00A45B94"/>
    <w:rsid w:val="00A60506"/>
    <w:rsid w:val="00A615F9"/>
    <w:rsid w:val="00A67ADE"/>
    <w:rsid w:val="00A71282"/>
    <w:rsid w:val="00A71666"/>
    <w:rsid w:val="00A73DDD"/>
    <w:rsid w:val="00A758E7"/>
    <w:rsid w:val="00A84B9E"/>
    <w:rsid w:val="00A85088"/>
    <w:rsid w:val="00A913A0"/>
    <w:rsid w:val="00A927A3"/>
    <w:rsid w:val="00AA7B79"/>
    <w:rsid w:val="00AC0D09"/>
    <w:rsid w:val="00AC4F08"/>
    <w:rsid w:val="00AC5AAA"/>
    <w:rsid w:val="00AD5650"/>
    <w:rsid w:val="00AE7ACB"/>
    <w:rsid w:val="00B01C93"/>
    <w:rsid w:val="00B252F1"/>
    <w:rsid w:val="00B35D2A"/>
    <w:rsid w:val="00B47A1B"/>
    <w:rsid w:val="00B56498"/>
    <w:rsid w:val="00B638C4"/>
    <w:rsid w:val="00B65555"/>
    <w:rsid w:val="00B73B17"/>
    <w:rsid w:val="00B74A8D"/>
    <w:rsid w:val="00B82066"/>
    <w:rsid w:val="00B82219"/>
    <w:rsid w:val="00B875A0"/>
    <w:rsid w:val="00BC171E"/>
    <w:rsid w:val="00BC3AC4"/>
    <w:rsid w:val="00BE1A59"/>
    <w:rsid w:val="00BE2FDA"/>
    <w:rsid w:val="00BF05BE"/>
    <w:rsid w:val="00BF7BDD"/>
    <w:rsid w:val="00C05FDA"/>
    <w:rsid w:val="00C06577"/>
    <w:rsid w:val="00C073D2"/>
    <w:rsid w:val="00C3334D"/>
    <w:rsid w:val="00C403BD"/>
    <w:rsid w:val="00C57547"/>
    <w:rsid w:val="00C93079"/>
    <w:rsid w:val="00C935A6"/>
    <w:rsid w:val="00CA152A"/>
    <w:rsid w:val="00CA2787"/>
    <w:rsid w:val="00CA2F14"/>
    <w:rsid w:val="00CA4174"/>
    <w:rsid w:val="00CA47B5"/>
    <w:rsid w:val="00CB0184"/>
    <w:rsid w:val="00CB342D"/>
    <w:rsid w:val="00CB495E"/>
    <w:rsid w:val="00CB7B0C"/>
    <w:rsid w:val="00CC1CB0"/>
    <w:rsid w:val="00CC3889"/>
    <w:rsid w:val="00CC4843"/>
    <w:rsid w:val="00CD098A"/>
    <w:rsid w:val="00CD5E3C"/>
    <w:rsid w:val="00CE5069"/>
    <w:rsid w:val="00D16979"/>
    <w:rsid w:val="00D20612"/>
    <w:rsid w:val="00D21C0A"/>
    <w:rsid w:val="00D22745"/>
    <w:rsid w:val="00D46C0C"/>
    <w:rsid w:val="00D50540"/>
    <w:rsid w:val="00D53100"/>
    <w:rsid w:val="00D6158C"/>
    <w:rsid w:val="00D61BC4"/>
    <w:rsid w:val="00D64A89"/>
    <w:rsid w:val="00D66B2D"/>
    <w:rsid w:val="00D72937"/>
    <w:rsid w:val="00D76BB7"/>
    <w:rsid w:val="00D82011"/>
    <w:rsid w:val="00D86ADE"/>
    <w:rsid w:val="00D873BA"/>
    <w:rsid w:val="00D87960"/>
    <w:rsid w:val="00D91794"/>
    <w:rsid w:val="00D929AF"/>
    <w:rsid w:val="00D95EBD"/>
    <w:rsid w:val="00DA20CD"/>
    <w:rsid w:val="00DA41A6"/>
    <w:rsid w:val="00DA44F6"/>
    <w:rsid w:val="00DA5F1A"/>
    <w:rsid w:val="00DA7A11"/>
    <w:rsid w:val="00DB062C"/>
    <w:rsid w:val="00DB1E96"/>
    <w:rsid w:val="00DC6AB6"/>
    <w:rsid w:val="00DD0770"/>
    <w:rsid w:val="00DD4305"/>
    <w:rsid w:val="00DE54C0"/>
    <w:rsid w:val="00E06D97"/>
    <w:rsid w:val="00E13D6E"/>
    <w:rsid w:val="00E301A2"/>
    <w:rsid w:val="00E3083B"/>
    <w:rsid w:val="00E3092E"/>
    <w:rsid w:val="00E3287B"/>
    <w:rsid w:val="00E33A62"/>
    <w:rsid w:val="00E35FFE"/>
    <w:rsid w:val="00E36ABE"/>
    <w:rsid w:val="00E45B3E"/>
    <w:rsid w:val="00E464FB"/>
    <w:rsid w:val="00E50101"/>
    <w:rsid w:val="00E66316"/>
    <w:rsid w:val="00E83E81"/>
    <w:rsid w:val="00E97E9D"/>
    <w:rsid w:val="00EB354A"/>
    <w:rsid w:val="00EC0D4F"/>
    <w:rsid w:val="00ED58BE"/>
    <w:rsid w:val="00EE140C"/>
    <w:rsid w:val="00EE33DA"/>
    <w:rsid w:val="00EF28C7"/>
    <w:rsid w:val="00EF6E84"/>
    <w:rsid w:val="00F04D3E"/>
    <w:rsid w:val="00F05109"/>
    <w:rsid w:val="00F21384"/>
    <w:rsid w:val="00F3076E"/>
    <w:rsid w:val="00F32264"/>
    <w:rsid w:val="00F342A3"/>
    <w:rsid w:val="00F4375D"/>
    <w:rsid w:val="00F56063"/>
    <w:rsid w:val="00F82D9E"/>
    <w:rsid w:val="00F83875"/>
    <w:rsid w:val="00F96EFA"/>
    <w:rsid w:val="00FA0E45"/>
    <w:rsid w:val="00FB3B35"/>
    <w:rsid w:val="00FD53DC"/>
    <w:rsid w:val="00FE0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C6BDF"/>
  <w15:docId w15:val="{66DBC8F9-B3BA-4A9D-9904-84CF11D6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62" w:lineRule="auto"/>
      <w:ind w:left="370" w:hanging="370"/>
    </w:pPr>
    <w:rPr>
      <w:rFonts w:ascii="Arial" w:eastAsia="Arial" w:hAnsi="Arial" w:cs="Arial"/>
      <w:color w:val="000000"/>
      <w:sz w:val="24"/>
    </w:rPr>
  </w:style>
  <w:style w:type="paragraph" w:styleId="Heading1">
    <w:name w:val="heading 1"/>
    <w:next w:val="Normal"/>
    <w:link w:val="Heading1Char"/>
    <w:uiPriority w:val="9"/>
    <w:qFormat/>
    <w:pPr>
      <w:keepNext/>
      <w:keepLines/>
      <w:ind w:left="10" w:hanging="10"/>
      <w:outlineLvl w:val="0"/>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464FB"/>
    <w:pPr>
      <w:ind w:left="720"/>
      <w:contextualSpacing/>
    </w:pPr>
  </w:style>
  <w:style w:type="table" w:styleId="TableGrid0">
    <w:name w:val="Table Grid"/>
    <w:basedOn w:val="TableNormal"/>
    <w:uiPriority w:val="39"/>
    <w:rsid w:val="00302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0289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A45B94"/>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64.38.06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app.leg.wa.gov/RCW/default.aspx?cite=64.38.06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pp.leg.wa.gov/RCW/default.aspx?cite=64.38.06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Treese</dc:creator>
  <cp:keywords/>
  <cp:lastModifiedBy>Bruce H</cp:lastModifiedBy>
  <cp:revision>38</cp:revision>
  <dcterms:created xsi:type="dcterms:W3CDTF">2024-10-09T19:12:00Z</dcterms:created>
  <dcterms:modified xsi:type="dcterms:W3CDTF">2024-10-29T15:32:00Z</dcterms:modified>
</cp:coreProperties>
</file>